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7"/>
      <w:bookmarkEnd w:id="0"/>
      <w:bookmarkStart w:id="1" w:name="_Hlt449016246"/>
      <w:bookmarkEnd w:id="1"/>
      <w:bookmarkStart w:id="2" w:name="_Hlt450039480"/>
      <w:bookmarkEnd w:id="2"/>
      <w:bookmarkStart w:id="3" w:name="_Hlt448930105"/>
      <w:bookmarkEnd w:id="3"/>
      <w:bookmarkStart w:id="4" w:name="_Hlt450051172"/>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R4-2415904</w:t>
      </w:r>
      <w:bookmarkStart w:id="16" w:name="_GoBack"/>
      <w:bookmarkEnd w:id="16"/>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R19 HPUE duty cycle and MSD rule</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6.1.1.1.1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cs="Times New Roman"/>
          <w:sz w:val="20"/>
          <w:szCs w:val="20"/>
          <w:lang w:val="en-US" w:eastAsia="zh-CN"/>
        </w:rPr>
      </w:pPr>
      <w:bookmarkStart w:id="7" w:name="OLE_LINK25"/>
      <w:r>
        <w:rPr>
          <w:rFonts w:hint="eastAsia" w:cs="Times New Roman"/>
          <w:sz w:val="20"/>
          <w:szCs w:val="20"/>
          <w:lang w:val="en-US" w:eastAsia="zh-CN"/>
        </w:rPr>
        <w:t xml:space="preserve">In last meeting, some agreements/open issues are included in the WF[2]. </w:t>
      </w:r>
      <w:r>
        <w:rPr>
          <w:rFonts w:hint="default" w:ascii="Times New Roman" w:hAnsi="Times New Roman" w:cs="Times New Roman"/>
          <w:sz w:val="20"/>
          <w:szCs w:val="20"/>
          <w:lang w:val="en-US" w:eastAsia="zh-CN"/>
        </w:rPr>
        <w:t xml:space="preserve">In this contribution, </w:t>
      </w:r>
      <w:bookmarkStart w:id="8"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9" w:name="OLE_LINK37"/>
      <w:r>
        <w:rPr>
          <w:rFonts w:hint="default" w:cs="Times New Roman"/>
          <w:sz w:val="20"/>
          <w:szCs w:val="20"/>
          <w:lang w:val="en-US" w:eastAsia="zh-CN"/>
        </w:rPr>
        <w:t xml:space="preserve"> on </w:t>
      </w:r>
      <w:bookmarkEnd w:id="9"/>
      <w:bookmarkStart w:id="10" w:name="OLE_LINK12"/>
      <w:r>
        <w:rPr>
          <w:rFonts w:hint="eastAsia" w:cs="Times New Roman"/>
          <w:sz w:val="20"/>
          <w:szCs w:val="20"/>
          <w:lang w:val="en-US" w:eastAsia="zh-CN"/>
        </w:rPr>
        <w:t>PC1.5 i</w:t>
      </w:r>
      <w:r>
        <w:rPr>
          <w:rFonts w:hint="eastAsia" w:cs="Times New Roman"/>
          <w:sz w:val="20"/>
          <w:szCs w:val="20"/>
          <w:lang w:val="en-US" w:eastAsia="ja-JP"/>
        </w:rPr>
        <w:t>ntra-band contiguous and non-contiguous UL CA</w:t>
      </w:r>
      <w:r>
        <w:rPr>
          <w:rFonts w:hint="eastAsia" w:cs="Times New Roman"/>
          <w:sz w:val="20"/>
          <w:szCs w:val="20"/>
          <w:lang w:val="en-US" w:eastAsia="zh-CN"/>
        </w:rPr>
        <w:t>.</w:t>
      </w:r>
      <w:r>
        <w:rPr>
          <w:rFonts w:hint="default" w:cs="Times New Roman"/>
          <w:sz w:val="20"/>
          <w:szCs w:val="20"/>
          <w:lang w:val="en-US" w:eastAsia="zh-CN"/>
        </w:rPr>
        <w:t xml:space="preserve"> </w:t>
      </w:r>
      <w:bookmarkEnd w:id="8"/>
      <w:bookmarkEnd w:id="10"/>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cs="Times New Roman"/>
          <w:b/>
          <w:bCs/>
          <w:i w:val="0"/>
          <w:iCs w:val="0"/>
          <w:sz w:val="20"/>
          <w:szCs w:val="22"/>
          <w:highlight w:val="none"/>
          <w:lang w:val="en-US" w:eastAsia="zh-CN"/>
        </w:rPr>
      </w:pPr>
      <w:bookmarkStart w:id="11" w:name="OLE_LINK11"/>
      <w:bookmarkStart w:id="12" w:name="OLE_LINK28"/>
      <w:bookmarkStart w:id="13" w:name="OLE_LINK66"/>
      <w:bookmarkStart w:id="14" w:name="OLE_LINK23"/>
      <w:r>
        <w:rPr>
          <w:rFonts w:hint="eastAsia" w:cs="Times New Roman"/>
          <w:b/>
          <w:bCs/>
          <w:i w:val="0"/>
          <w:iCs w:val="0"/>
          <w:sz w:val="20"/>
          <w:szCs w:val="22"/>
          <w:highlight w:val="none"/>
          <w:lang w:val="en-US" w:eastAsia="zh-CN"/>
        </w:rPr>
        <w:t>2.1 Duty Cycle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For the duty cycle solution for SAR compliance, the agreement in the WF[1] was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
              <w:keepNext/>
              <w:keepLines/>
              <w:pageBreakBefore w:val="0"/>
              <w:numPr>
                <w:ilvl w:val="0"/>
                <w:numId w:val="0"/>
              </w:numPr>
              <w:kinsoku/>
              <w:wordWrap/>
              <w:overflowPunct w:val="0"/>
              <w:topLinePunct w:val="0"/>
              <w:autoSpaceDE w:val="0"/>
              <w:autoSpaceDN w:val="0"/>
              <w:bidi w:val="0"/>
              <w:adjustRightInd w:val="0"/>
              <w:spacing w:after="180"/>
              <w:ind w:leftChars="0"/>
              <w:textAlignment w:val="baseline"/>
              <w:rPr>
                <w:rFonts w:eastAsia="宋体"/>
                <w:szCs w:val="24"/>
                <w:lang w:eastAsia="zh-CN"/>
              </w:rPr>
            </w:pPr>
            <w:r>
              <w:t>1. General aspect</w:t>
            </w:r>
          </w:p>
          <w:p>
            <w:pPr>
              <w:pStyle w:val="3"/>
              <w:keepNext/>
              <w:keepLines/>
              <w:pageBreakBefore w:val="0"/>
              <w:numPr>
                <w:ilvl w:val="1"/>
                <w:numId w:val="0"/>
              </w:numPr>
              <w:kinsoku/>
              <w:wordWrap/>
              <w:overflowPunct w:val="0"/>
              <w:topLinePunct w:val="0"/>
              <w:autoSpaceDE w:val="0"/>
              <w:autoSpaceDN w:val="0"/>
              <w:bidi w:val="0"/>
              <w:adjustRightInd w:val="0"/>
              <w:spacing w:after="180"/>
              <w:ind w:right="210" w:rightChars="100"/>
              <w:textAlignment w:val="baseline"/>
              <w:rPr>
                <w:sz w:val="24"/>
                <w:lang w:eastAsia="zh-CN"/>
              </w:rPr>
            </w:pPr>
            <w:r>
              <w:rPr>
                <w:sz w:val="24"/>
              </w:rPr>
              <w:t>1.1 Duty cycle solution for SAR compliance</w:t>
            </w:r>
          </w:p>
          <w:p>
            <w:pPr>
              <w:keepNext/>
              <w:keepLines/>
              <w:pageBreakBefore w:val="0"/>
              <w:kinsoku/>
              <w:wordWrap/>
              <w:overflowPunct/>
              <w:topLinePunct w:val="0"/>
              <w:autoSpaceDE/>
              <w:autoSpaceDN/>
              <w:bidi w:val="0"/>
              <w:adjustRightInd/>
              <w:spacing w:after="120"/>
              <w:textAlignment w:val="auto"/>
              <w:rPr>
                <w:rFonts w:hint="eastAsia" w:cs="Times New Roman"/>
                <w:i w:val="0"/>
                <w:iCs w:val="0"/>
                <w:sz w:val="20"/>
                <w:szCs w:val="22"/>
                <w:highlight w:val="none"/>
                <w:vertAlign w:val="baseline"/>
                <w:lang w:val="en-US" w:eastAsia="zh-CN"/>
              </w:rPr>
            </w:pPr>
            <w:r>
              <w:rPr>
                <w:b/>
                <w:highlight w:val="green"/>
                <w:lang w:eastAsia="zh-CN"/>
              </w:rPr>
              <w:t>Online agreement:</w:t>
            </w:r>
            <w:r>
              <w:rPr>
                <w:rFonts w:eastAsia="宋体"/>
                <w:color w:val="0070C0"/>
                <w:szCs w:val="24"/>
                <w:highlight w:val="green"/>
                <w:lang w:eastAsia="zh-CN"/>
              </w:rPr>
              <w:t xml:space="preserve"> </w:t>
            </w:r>
            <w:r>
              <w:rPr>
                <w:highlight w:val="green"/>
                <w:lang w:eastAsia="zh-CN"/>
              </w:rPr>
              <w:t>Duty cycle solution is considered for both intra-band CA and inter-band CA/EN-DC</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cs="Times New Roman"/>
          <w:sz w:val="20"/>
          <w:szCs w:val="20"/>
          <w:lang w:val="en-US" w:eastAsia="zh-CN"/>
        </w:rPr>
        <w:t>However, there were no agreements in last meeting, instead this issue was grouped into a general issue which is applied for the whole R19 HPUE band combination according to the WF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4.2 Duty cycle solution for SAR compliance</w:t>
            </w:r>
          </w:p>
          <w:p>
            <w:pPr>
              <w:overflowPunct/>
              <w:autoSpaceDE/>
              <w:autoSpaceDN/>
              <w:adjustRightInd/>
              <w:spacing w:beforeLines="-2147483648" w:after="120" w:afterLines="-2147483648" w:line="240" w:lineRule="auto"/>
              <w:ind w:left="720"/>
              <w:jc w:val="left"/>
              <w:textAlignment w:val="auto"/>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Proposals：</w:t>
            </w:r>
          </w:p>
          <w:p>
            <w:pPr>
              <w:numPr>
                <w:ilvl w:val="1"/>
                <w:numId w:val="7"/>
              </w:numPr>
              <w:overflowPunct/>
              <w:autoSpaceDE/>
              <w:autoSpaceDN/>
              <w:adjustRightInd/>
              <w:spacing w:beforeLines="-2147483648" w:after="60" w:afterLines="-2147483648" w:line="240" w:lineRule="auto"/>
              <w:ind w:left="1440"/>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 xml:space="preserve">Proposal 1: </w:t>
            </w:r>
            <w:r>
              <w:rPr>
                <w:rFonts w:ascii="Times New Roman" w:hAnsi="Times New Roman" w:eastAsia="MS Mincho" w:cs="Times New Roman"/>
                <w:bCs/>
                <w:kern w:val="0"/>
                <w:sz w:val="20"/>
                <w:lang w:val="en-GB" w:eastAsia="en-US"/>
              </w:rPr>
              <w:t>Do not introduce ΔP</w:t>
            </w:r>
            <w:r>
              <w:rPr>
                <w:rFonts w:ascii="Times New Roman" w:hAnsi="Times New Roman" w:eastAsia="MS Mincho" w:cs="Times New Roman"/>
                <w:bCs/>
                <w:kern w:val="0"/>
                <w:sz w:val="20"/>
                <w:vertAlign w:val="subscript"/>
                <w:lang w:val="en-GB" w:eastAsia="en-US"/>
              </w:rPr>
              <w:t>PowerClass</w:t>
            </w:r>
            <w:r>
              <w:rPr>
                <w:rFonts w:ascii="Times New Roman" w:hAnsi="Times New Roman" w:eastAsia="MS Mincho" w:cs="Times New Roman"/>
                <w:bCs/>
                <w:kern w:val="0"/>
                <w:sz w:val="20"/>
                <w:lang w:val="en-GB" w:eastAsia="en-US"/>
              </w:rPr>
              <w:t xml:space="preserve"> related specifications changes for PC1.5 inter-band UL CA/EN-DC with 2Tx or 3Tx configuration. (Apple)</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2: 3GPP duty-cycle solution is not specified for any scenarios of this WI. (Samsung)</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3: (Xiaomi)</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en-GB" w:eastAsia="en-US"/>
              </w:rPr>
            </w:pPr>
            <w:r>
              <w:rPr>
                <w:rFonts w:ascii="Times New Roman" w:hAnsi="Times New Roman" w:eastAsia="MS Mincho" w:cs="Times New Roman"/>
                <w:kern w:val="0"/>
                <w:sz w:val="20"/>
                <w:lang w:val="en-GB" w:eastAsia="en-US"/>
              </w:rPr>
              <w:t>If follow the similar approach as current spec, for PC1.5 UE for two band NR inter-band uplink CA with 2Tx and/or 3Tx, the existing SAR mitigation solution for PC1.5 with 3Tx in Ts 38.101-1 could be reused. For PC1.5 inter-band EN-DC with 2Tx and 3Tx case, the duty cycle approach could be defined based on the existing dutycycle approach for PC2 case with some small changes as shown in the following table 2 for TDD+TDD case and FDD+TDD case.</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en-GB" w:eastAsia="en-US"/>
              </w:rPr>
            </w:pPr>
            <w:r>
              <w:rPr>
                <w:rFonts w:ascii="Times New Roman" w:hAnsi="Times New Roman" w:eastAsia="MS Mincho" w:cs="Times New Roman"/>
                <w:kern w:val="0"/>
                <w:sz w:val="20"/>
                <w:lang w:val="en-GB" w:eastAsia="en-US"/>
              </w:rPr>
              <w:t>A unify approach on SAR solution for all possible HP UE scenarios can be considered. The detail approach could be discussed further. For example, only P-MPR is considered (i.e., Duty-cycle solution is not considered), or SAR solution just relies on per single band manner.</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4: (Meta)</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en-GB" w:eastAsia="en-US"/>
              </w:rPr>
            </w:pPr>
            <w:r>
              <w:rPr>
                <w:rFonts w:ascii="Times New Roman" w:hAnsi="Times New Roman" w:eastAsia="MS Mincho" w:cs="Times New Roman"/>
                <w:kern w:val="0"/>
                <w:sz w:val="20"/>
                <w:lang w:val="en-GB" w:eastAsia="en-US"/>
              </w:rPr>
              <w:t>RAN4 can reuse the max uplink duty cycle limitation of the single carrier SAR solution for PC 1.5 intra-band contiguous CA combinations UE.</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en-GB" w:eastAsia="en-US"/>
              </w:rPr>
            </w:pPr>
            <w:r>
              <w:rPr>
                <w:rFonts w:ascii="Times New Roman" w:hAnsi="Times New Roman" w:eastAsia="MS Mincho" w:cs="Times New Roman"/>
                <w:kern w:val="0"/>
                <w:sz w:val="20"/>
                <w:lang w:val="en-GB" w:eastAsia="en-US"/>
              </w:rPr>
              <w:t>RAN4 can reuse the max uplink duty cycle limitation of the single carrier SAR solution for PC 1.5 intra-band non-contiguous CA combinations UE.</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5: (LGE)</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en-GB" w:eastAsia="en-US"/>
              </w:rPr>
            </w:pPr>
            <w:r>
              <w:rPr>
                <w:rFonts w:ascii="Times New Roman" w:hAnsi="Times New Roman" w:eastAsia="宋体" w:cs="Times New Roman"/>
                <w:kern w:val="0"/>
                <w:sz w:val="20"/>
                <w:lang w:val="sv-SE" w:eastAsia="zh-CN"/>
              </w:rPr>
              <w:t>Modify the existing PC2 duty cycle solution if PC2 FDD/TDD + PC2 TDD with 2Tx is introduced.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For PC3 E-UTRA FDD + PC3/PC2 NR FDD,</w:t>
            </w:r>
            <w:r>
              <w:rPr>
                <w:rFonts w:ascii="Times New Roman" w:hAnsi="Times New Roman" w:eastAsia="MS Mincho" w:cs="Times New Roman"/>
                <w:kern w:val="0"/>
                <w:sz w:val="20"/>
                <w:lang w:val="en-GB" w:eastAsia="en-US"/>
              </w:rPr>
              <w:t xml:space="preserve"> </w:t>
            </w:r>
            <w:r>
              <w:rPr>
                <w:rFonts w:ascii="Times New Roman" w:hAnsi="Times New Roman" w:eastAsia="宋体" w:cs="Times New Roman"/>
                <w:kern w:val="0"/>
                <w:sz w:val="20"/>
                <w:lang w:val="sv-SE" w:eastAsia="zh-CN"/>
              </w:rPr>
              <w:t xml:space="preserve"> consider A new capability, for example, maxUplinkDutyCycle-interBandENDC-FDD-PC2 which comprises of maxUplinkDutyCycle-FDD-EN-DC1 and maxUplinkDutyCycle-FDD-EN-DC2</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 xml:space="preserve">For PC2 E-UTRA TDD + PC3 NR TDD,  consider </w:t>
            </w:r>
            <w:r>
              <w:rPr>
                <w:rFonts w:ascii="Times New Roman" w:hAnsi="Times New Roman" w:eastAsia="MS Mincho" w:cs="Times New Roman"/>
                <w:kern w:val="0"/>
                <w:sz w:val="20"/>
                <w:lang w:val="sv-SE" w:eastAsia="zh-CN"/>
              </w:rPr>
              <w:t xml:space="preserve">New duty cycle solution considering the possible E-UTRA TDD uplink-downlink configurations and the percentage of maximum E-UTRA/NR uplink transmission </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 xml:space="preserve">For PC2 E-UTRA TDD + PC2 NR TDD,  considere </w:t>
            </w:r>
            <w:r>
              <w:rPr>
                <w:rFonts w:ascii="Times New Roman" w:hAnsi="Times New Roman" w:eastAsia="MS Mincho" w:cs="Times New Roman"/>
                <w:kern w:val="0"/>
                <w:sz w:val="20"/>
                <w:lang w:val="sv-SE" w:eastAsia="zh-CN"/>
              </w:rPr>
              <w:t xml:space="preserve">New duty cycle solution considering the possible E-UTRA TDD uplink-downlink configurations and the percentage of maximum E-UTRA/NR uplink transmission </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For PC3 E-UTRA FDD + PC3/PC2 NR FDD (UL-MIMO or Tx diversity),  consider a</w:t>
            </w:r>
            <w:r>
              <w:rPr>
                <w:rFonts w:ascii="Times New Roman" w:hAnsi="Times New Roman" w:eastAsia="MS Mincho" w:cs="Times New Roman"/>
                <w:kern w:val="0"/>
                <w:sz w:val="20"/>
                <w:lang w:val="sv-SE" w:eastAsia="zh-CN"/>
              </w:rPr>
              <w:t xml:space="preserve"> new capability, for example, maxUplinkDutyCycle-interBandENDC-FDD-PC2 which comprises of maxUplinkDutyCycle-FDD-EN-DC1 and maxUplinkDutyCycle-FDD-EN-DC2</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 xml:space="preserve">For PC2 E-UTRA TDD + PC3 NR TDD (UL-MIMO or Tx diversity),  consider </w:t>
            </w:r>
            <w:r>
              <w:rPr>
                <w:rFonts w:ascii="Times New Roman" w:hAnsi="Times New Roman" w:eastAsia="MS Mincho" w:cs="Times New Roman"/>
                <w:kern w:val="0"/>
                <w:sz w:val="20"/>
                <w:lang w:val="sv-SE" w:eastAsia="zh-CN"/>
              </w:rPr>
              <w:t xml:space="preserve">New duty cycle solution considering the possible E-UTRA TDD uplink-downlink configurations and the percentage of maximum E-UTRA/NR uplink transmission </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 xml:space="preserve">For PC3 E-UTRA FDD/TDD + PC1.5 NR TDD (UL-MIMO or Tx diversity), consider </w:t>
            </w:r>
            <w:r>
              <w:rPr>
                <w:rFonts w:ascii="Times New Roman" w:hAnsi="Times New Roman" w:eastAsia="MS Mincho" w:cs="Times New Roman"/>
                <w:kern w:val="0"/>
                <w:sz w:val="20"/>
                <w:lang w:val="sv-SE" w:eastAsia="zh-CN"/>
              </w:rPr>
              <w:t xml:space="preserve">New duty cycle solution considering the possible E-UTRA TDD uplink-downlink configurations and </w:t>
            </w:r>
            <w:r>
              <w:rPr>
                <w:rFonts w:ascii="Times New Roman" w:hAnsi="Times New Roman" w:eastAsia="宋体" w:cs="Times New Roman"/>
                <w:kern w:val="0"/>
                <w:sz w:val="20"/>
                <w:lang w:val="sv-SE" w:eastAsia="zh-CN"/>
              </w:rPr>
              <w:t xml:space="preserve">the percentage of maximum E-UTRA/NR uplink transmission </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 xml:space="preserve">For PC2 E-UTRA TDD + PC2/PC1.5 NR TDD (UL-MIMO or Tx diversity), consider New duty cycle solution considering the possible E-UTRA TDD uplink-downlink configurations and the percentage of maximum E-UTRA/NR uplink transmission </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6: (ZTE)</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宋体" w:cs="Times New Roman"/>
                <w:kern w:val="0"/>
                <w:sz w:val="20"/>
                <w:lang w:val="sv-SE" w:eastAsia="zh-CN"/>
              </w:rPr>
              <w:t>Duty-cycle solution should be considered for limited scenarios of PC2/PC1.5 NR inter-band UL CA.</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Only consider P-MPR scheme for the band combination including PC2 FDD band, i.e. FDD+FDD, FDD+TDD</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Except P-MPR, duty cycle scheme is applied to the band combination including pure TDD bands, i.e. TDD+TDD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hint="eastAsia" w:ascii="Times New Roman" w:hAnsi="Times New Roman" w:eastAsia="宋体" w:cs="Times New Roman"/>
                <w:kern w:val="0"/>
                <w:sz w:val="20"/>
                <w:lang w:val="sv-SE" w:eastAsia="zh-CN"/>
              </w:rPr>
              <w:t>For duty cycle based SAR solution, reu</w:t>
            </w:r>
            <w:r>
              <w:rPr>
                <w:rFonts w:ascii="Times New Roman" w:hAnsi="Times New Roman" w:eastAsia="宋体" w:cs="Times New Roman"/>
                <w:kern w:val="0"/>
                <w:sz w:val="20"/>
                <w:lang w:val="sv-SE" w:eastAsia="zh-CN"/>
              </w:rPr>
              <w:t xml:space="preserve">se the </w:t>
            </w:r>
            <w:r>
              <w:rPr>
                <w:rFonts w:hint="eastAsia" w:ascii="Times New Roman" w:hAnsi="Times New Roman" w:eastAsia="宋体" w:cs="Times New Roman"/>
                <w:kern w:val="0"/>
                <w:sz w:val="20"/>
                <w:lang w:val="sv-SE" w:eastAsia="zh-CN"/>
              </w:rPr>
              <w:t xml:space="preserve">PC1.5 </w:t>
            </w:r>
            <w:r>
              <w:rPr>
                <w:rFonts w:ascii="Times New Roman" w:hAnsi="Times New Roman" w:eastAsia="宋体" w:cs="Times New Roman"/>
                <w:kern w:val="0"/>
                <w:sz w:val="20"/>
                <w:lang w:val="sv-SE" w:eastAsia="zh-CN"/>
              </w:rPr>
              <w:t xml:space="preserve">single CC </w:t>
            </w:r>
            <w:r>
              <w:rPr>
                <w:rFonts w:hint="eastAsia" w:ascii="Times New Roman" w:hAnsi="Times New Roman" w:eastAsia="宋体" w:cs="Times New Roman"/>
                <w:kern w:val="0"/>
                <w:sz w:val="20"/>
                <w:lang w:val="sv-SE" w:eastAsia="zh-CN"/>
              </w:rPr>
              <w:t>capability for PC1.5 TDD UL intra-band contiguous and non-contiguous CA</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7: (vivo)</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宋体" w:cs="Times New Roman"/>
                <w:kern w:val="0"/>
                <w:sz w:val="20"/>
                <w:lang w:val="sv-SE" w:eastAsia="zh-CN"/>
              </w:rPr>
            </w:pPr>
            <w:r>
              <w:rPr>
                <w:rFonts w:ascii="Times New Roman" w:hAnsi="Times New Roman" w:eastAsia="MS Mincho" w:cs="Times New Roman"/>
                <w:kern w:val="0"/>
                <w:sz w:val="20"/>
                <w:lang w:val="sv-SE" w:eastAsia="zh-CN"/>
              </w:rPr>
              <w:t>For PC1.5 of intra-band CA, the default threshold is 25% when maxUplinkDutyCycle-PC2-FR1 is absent, if 0.5* maxUplinkDutyCycle-PC2-FR1 is exceeded, power reduction is expected.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To compatible with PC2 of inter-band CA, for PC1.5 of inter-band CA, there is no default threshold when maxUplinkDutyCycle-interBandCA-PC2 is absent, if maxUplinkDutyCycle-PC2-FR1 is reported and 0.5* maxUplinkDutyCycle-PC2-FR1 is exceeded, power reduction is expected.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To compatible with PC2 of inter-band EN-DC(TDD+TDD), for PC1.5 of Inter-band EN-DC(TDD+TDD) , the default threshold is 15% when maxUplinkDutyCycle-interBandENDC-TDD-PC2-r16 is absent, if 0.5*maxUplinkDutyCycle-interBandENDC-TDD-PC2-r16 is exceeded, power reduction is expected.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F</w:t>
            </w:r>
            <w:r>
              <w:rPr>
                <w:rFonts w:ascii="Times New Roman" w:hAnsi="Times New Roman" w:eastAsia="MS Mincho" w:cs="Times New Roman"/>
                <w:kern w:val="0"/>
                <w:sz w:val="20"/>
                <w:lang w:val="sv-SE" w:eastAsia="zh-CN"/>
              </w:rPr>
              <w:t>or PC2 of inter-band EN-DC(FDD+FDD), on LTE side, there are two threshold 40% and 70% is hardcoded. On NR side, UE will report two thresholds: maxUplinkDutyCycle-FDD-FDD-EN-DC1 and maxUplinkDutyCycle-FDD-FDD-EN-DC2.</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8: (CHTTL)</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 xml:space="preserve">Regarding the SAR solutions for </w:t>
            </w:r>
            <w:r>
              <w:rPr>
                <w:rFonts w:ascii="Times New Roman" w:hAnsi="Times New Roman" w:eastAsia="MS Mincho" w:cs="Times New Roman"/>
                <w:kern w:val="0"/>
                <w:sz w:val="20"/>
                <w:lang w:val="sv-SE" w:eastAsia="zh-CN"/>
              </w:rPr>
              <w:t>LTE</w:t>
            </w:r>
            <w:r>
              <w:rPr>
                <w:rFonts w:hint="eastAsia" w:ascii="Times New Roman" w:hAnsi="Times New Roman" w:eastAsia="MS Mincho" w:cs="Times New Roman"/>
                <w:kern w:val="0"/>
                <w:sz w:val="20"/>
                <w:lang w:val="sv-SE" w:eastAsia="zh-CN"/>
              </w:rPr>
              <w:t xml:space="preserve"> FDD</w:t>
            </w:r>
            <w:r>
              <w:rPr>
                <w:rFonts w:ascii="Times New Roman" w:hAnsi="Times New Roman" w:eastAsia="MS Mincho" w:cs="Times New Roman"/>
                <w:kern w:val="0"/>
                <w:sz w:val="20"/>
                <w:lang w:val="sv-SE" w:eastAsia="zh-CN"/>
              </w:rPr>
              <w:t xml:space="preserve"> + NR </w:t>
            </w:r>
            <w:r>
              <w:rPr>
                <w:rFonts w:hint="eastAsia" w:ascii="Times New Roman" w:hAnsi="Times New Roman" w:eastAsia="MS Mincho" w:cs="Times New Roman"/>
                <w:kern w:val="0"/>
                <w:sz w:val="20"/>
                <w:lang w:val="sv-SE" w:eastAsia="zh-CN"/>
              </w:rPr>
              <w:t>TDD with 1Tx PC3 + 2Tx PC1.5 configuration</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 xml:space="preserve">At least the method that reusing PC2 </w:t>
            </w:r>
            <w:r>
              <w:rPr>
                <w:rFonts w:ascii="Times New Roman" w:hAnsi="Times New Roman" w:eastAsia="MS Mincho" w:cs="Times New Roman"/>
                <w:kern w:val="0"/>
                <w:sz w:val="20"/>
                <w:lang w:val="sv-SE" w:eastAsia="zh-CN"/>
              </w:rPr>
              <w:t>LTE</w:t>
            </w:r>
            <w:r>
              <w:rPr>
                <w:rFonts w:hint="eastAsia" w:ascii="Times New Roman" w:hAnsi="Times New Roman" w:eastAsia="MS Mincho" w:cs="Times New Roman"/>
                <w:kern w:val="0"/>
                <w:sz w:val="20"/>
                <w:lang w:val="sv-SE" w:eastAsia="zh-CN"/>
              </w:rPr>
              <w:t xml:space="preserve"> FDD</w:t>
            </w:r>
            <w:r>
              <w:rPr>
                <w:rFonts w:ascii="Times New Roman" w:hAnsi="Times New Roman" w:eastAsia="MS Mincho" w:cs="Times New Roman"/>
                <w:kern w:val="0"/>
                <w:sz w:val="20"/>
                <w:lang w:val="sv-SE" w:eastAsia="zh-CN"/>
              </w:rPr>
              <w:t xml:space="preserve"> + NR </w:t>
            </w:r>
            <w:r>
              <w:rPr>
                <w:rFonts w:hint="eastAsia" w:ascii="Times New Roman" w:hAnsi="Times New Roman" w:eastAsia="MS Mincho" w:cs="Times New Roman"/>
                <w:kern w:val="0"/>
                <w:sz w:val="20"/>
                <w:lang w:val="sv-SE" w:eastAsia="zh-CN"/>
              </w:rPr>
              <w:t>TDD signalling with 0.5 scaling is considered</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b/>
                <w:kern w:val="0"/>
                <w:sz w:val="20"/>
                <w:lang w:val="en-GB" w:eastAsia="zh-TW"/>
              </w:rPr>
            </w:pPr>
            <w:r>
              <w:rPr>
                <w:rFonts w:hint="eastAsia" w:ascii="Times New Roman" w:hAnsi="Times New Roman" w:eastAsia="MS Mincho" w:cs="Times New Roman"/>
                <w:kern w:val="0"/>
                <w:sz w:val="20"/>
                <w:lang w:val="sv-SE" w:eastAsia="zh-CN"/>
              </w:rPr>
              <w:t>T</w:t>
            </w:r>
            <w:r>
              <w:rPr>
                <w:rFonts w:ascii="Times New Roman" w:hAnsi="Times New Roman" w:eastAsia="MS Mincho" w:cs="Times New Roman"/>
                <w:kern w:val="0"/>
                <w:sz w:val="20"/>
                <w:lang w:val="sv-SE" w:eastAsia="zh-CN"/>
              </w:rPr>
              <w:t xml:space="preserve">he UE-implementation based methods (i.e. P-MPR) is </w:t>
            </w:r>
            <w:r>
              <w:rPr>
                <w:rFonts w:hint="eastAsia" w:ascii="Times New Roman" w:hAnsi="Times New Roman" w:eastAsia="MS Mincho" w:cs="Times New Roman"/>
                <w:kern w:val="0"/>
                <w:sz w:val="20"/>
                <w:lang w:val="sv-SE" w:eastAsia="zh-CN"/>
              </w:rPr>
              <w:t xml:space="preserve">still </w:t>
            </w:r>
            <w:r>
              <w:rPr>
                <w:rFonts w:ascii="Times New Roman" w:hAnsi="Times New Roman" w:eastAsia="MS Mincho" w:cs="Times New Roman"/>
                <w:kern w:val="0"/>
                <w:sz w:val="20"/>
                <w:lang w:val="sv-SE" w:eastAsia="zh-CN"/>
              </w:rPr>
              <w:t>applied by default</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 xml:space="preserve">Regarding the SAR solutions for </w:t>
            </w:r>
            <w:r>
              <w:rPr>
                <w:rFonts w:ascii="Times New Roman" w:hAnsi="Times New Roman" w:eastAsia="MS Mincho" w:cs="Times New Roman"/>
                <w:kern w:val="0"/>
                <w:sz w:val="20"/>
                <w:lang w:val="sv-SE" w:eastAsia="zh-CN"/>
              </w:rPr>
              <w:t>LTE</w:t>
            </w:r>
            <w:r>
              <w:rPr>
                <w:rFonts w:hint="eastAsia" w:ascii="Times New Roman" w:hAnsi="Times New Roman" w:eastAsia="MS Mincho" w:cs="Times New Roman"/>
                <w:kern w:val="0"/>
                <w:sz w:val="20"/>
                <w:lang w:val="sv-SE" w:eastAsia="zh-CN"/>
              </w:rPr>
              <w:t xml:space="preserve"> FDD</w:t>
            </w:r>
            <w:r>
              <w:rPr>
                <w:rFonts w:ascii="Times New Roman" w:hAnsi="Times New Roman" w:eastAsia="MS Mincho" w:cs="Times New Roman"/>
                <w:kern w:val="0"/>
                <w:sz w:val="20"/>
                <w:lang w:val="sv-SE" w:eastAsia="zh-CN"/>
              </w:rPr>
              <w:t xml:space="preserve"> + NR </w:t>
            </w:r>
            <w:r>
              <w:rPr>
                <w:rFonts w:hint="eastAsia" w:ascii="Times New Roman" w:hAnsi="Times New Roman" w:eastAsia="MS Mincho" w:cs="Times New Roman"/>
                <w:kern w:val="0"/>
                <w:sz w:val="20"/>
                <w:lang w:val="sv-SE" w:eastAsia="zh-CN"/>
              </w:rPr>
              <w:t>FDD 2Tx/3Tx configurations</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T</w:t>
            </w:r>
            <w:r>
              <w:rPr>
                <w:rFonts w:ascii="Times New Roman" w:hAnsi="Times New Roman" w:eastAsia="MS Mincho" w:cs="Times New Roman"/>
                <w:kern w:val="0"/>
                <w:sz w:val="20"/>
                <w:lang w:val="sv-SE" w:eastAsia="zh-CN"/>
              </w:rPr>
              <w:t>he UE-implementation based methods (i.e. P-MPR) is applied by default</w:t>
            </w:r>
          </w:p>
          <w:p>
            <w:pPr>
              <w:numPr>
                <w:ilvl w:val="2"/>
                <w:numId w:val="7"/>
              </w:numPr>
              <w:overflowPunct/>
              <w:autoSpaceDE/>
              <w:autoSpaceDN/>
              <w:adjustRightInd/>
              <w:spacing w:beforeLines="-2147483648" w:after="0" w:afterLines="-2147483648" w:line="240" w:lineRule="auto"/>
              <w:ind w:left="2376" w:hanging="360"/>
              <w:jc w:val="left"/>
              <w:textAlignment w:val="auto"/>
              <w:rPr>
                <w:rFonts w:ascii="Times New Roman" w:hAnsi="Times New Roman" w:eastAsia="MS Mincho" w:cs="Times New Roman"/>
                <w:kern w:val="0"/>
                <w:sz w:val="20"/>
                <w:lang w:val="sv-SE" w:eastAsia="zh-CN"/>
              </w:rPr>
            </w:pPr>
            <w:r>
              <w:rPr>
                <w:rFonts w:hint="eastAsia" w:ascii="Times New Roman" w:hAnsi="Times New Roman" w:eastAsia="MS Mincho" w:cs="Times New Roman"/>
                <w:kern w:val="0"/>
                <w:sz w:val="20"/>
                <w:lang w:val="sv-SE" w:eastAsia="zh-CN"/>
              </w:rPr>
              <w:t>RAN4 to discuss whether other solutions (ex: duty cycle method) can be considered</w:t>
            </w:r>
          </w:p>
          <w:p>
            <w:pPr>
              <w:numPr>
                <w:ilvl w:val="1"/>
                <w:numId w:val="7"/>
              </w:numPr>
              <w:overflowPunct/>
              <w:autoSpaceDE/>
              <w:autoSpaceDN/>
              <w:adjustRightInd/>
              <w:spacing w:before="120" w:beforeLines="50" w:after="60" w:afterLines="-2147483648" w:line="240" w:lineRule="auto"/>
              <w:ind w:left="1434" w:hanging="357"/>
              <w:jc w:val="both"/>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Proposal 9: (China Telecom)</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For PC2 two band EN-DC with 2Tx and/or 3Tx, the legacy duty-cycle solution in 38.101-3 and corresponding capability and signalling shall be reused.</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For PC1.5 HPUE for intra/inter-band CA, the general SAR solution framework and the threshold of average percentage of uplink symbols should both refer to PC2 UE for CA and PC1.5 UE for single CC.</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 xml:space="preserve">For PC1.5 HPUE for intra/inter-band CA, if power class of one or both of the bands within the band combination is power class 1.5, the default value of maxDutyNR,x/y should be 25%. </w:t>
            </w:r>
          </w:p>
          <w:p>
            <w:pPr>
              <w:numPr>
                <w:ilvl w:val="0"/>
                <w:numId w:val="8"/>
              </w:numPr>
              <w:overflowPunct/>
              <w:autoSpaceDE/>
              <w:autoSpaceDN/>
              <w:adjustRightInd/>
              <w:spacing w:beforeLines="-2147483648" w:after="0" w:afterLines="-2147483648" w:line="240" w:lineRule="auto"/>
              <w:ind w:left="1932" w:leftChars="750" w:hanging="357"/>
              <w:jc w:val="left"/>
              <w:textAlignment w:val="auto"/>
              <w:rPr>
                <w:rFonts w:ascii="Times New Roman" w:hAnsi="Times New Roman" w:eastAsia="MS Mincho" w:cs="Times New Roman"/>
                <w:kern w:val="0"/>
                <w:sz w:val="20"/>
                <w:lang w:val="sv-SE" w:eastAsia="zh-CN"/>
              </w:rPr>
            </w:pPr>
            <w:r>
              <w:rPr>
                <w:rFonts w:ascii="Times New Roman" w:hAnsi="Times New Roman" w:eastAsia="MS Mincho" w:cs="Times New Roman"/>
                <w:kern w:val="0"/>
                <w:sz w:val="20"/>
                <w:lang w:val="sv-SE" w:eastAsia="zh-CN"/>
              </w:rPr>
              <w:t>Start with taking half of PC2 default duty-cycle threshold and 0.5*PC2capability as new trigger condition of SAR solution for PC1.5 of FDD+TDD/TDD+TDD.</w:t>
            </w:r>
          </w:p>
          <w:p>
            <w:pPr>
              <w:overflowPunct/>
              <w:autoSpaceDE/>
              <w:autoSpaceDN/>
              <w:adjustRightInd/>
              <w:spacing w:beforeLines="-2147483648" w:after="0" w:afterLines="-2147483648" w:line="240" w:lineRule="auto"/>
              <w:jc w:val="left"/>
              <w:textAlignment w:val="auto"/>
              <w:rPr>
                <w:rFonts w:ascii="Times New Roman" w:hAnsi="Times New Roman" w:eastAsia="宋体" w:cs="Times New Roman"/>
                <w:kern w:val="0"/>
                <w:sz w:val="20"/>
                <w:lang w:val="sv-SE" w:eastAsia="zh-CN"/>
              </w:rPr>
            </w:pPr>
          </w:p>
          <w:p>
            <w:pPr>
              <w:overflowPunct w:val="0"/>
              <w:autoSpaceDE w:val="0"/>
              <w:autoSpaceDN w:val="0"/>
              <w:adjustRightInd w:val="0"/>
              <w:spacing w:beforeLines="-2147483648" w:after="180" w:afterLines="-2147483648" w:line="240" w:lineRule="auto"/>
              <w:jc w:val="left"/>
              <w:textAlignment w:val="baseline"/>
              <w:rPr>
                <w:rFonts w:hint="eastAsia" w:cs="Times New Roman"/>
                <w:sz w:val="20"/>
                <w:szCs w:val="20"/>
                <w:vertAlign w:val="baseline"/>
                <w:lang w:val="en-US" w:eastAsia="zh-CN"/>
              </w:rPr>
            </w:pPr>
            <w:r>
              <w:rPr>
                <w:rFonts w:ascii="Times New Roman" w:hAnsi="Times New Roman" w:eastAsia="Times New Roman" w:cs="Times New Roman"/>
                <w:b/>
                <w:kern w:val="0"/>
                <w:sz w:val="20"/>
                <w:lang w:val="en-GB" w:eastAsia="zh-CN"/>
              </w:rPr>
              <w:t xml:space="preserve">Way forward: </w:t>
            </w:r>
            <w:r>
              <w:rPr>
                <w:rFonts w:ascii="Times New Roman" w:hAnsi="Times New Roman" w:eastAsia="Times New Roman" w:cs="Times New Roman"/>
                <w:bCs/>
                <w:kern w:val="0"/>
                <w:sz w:val="20"/>
                <w:lang w:val="en-GB" w:eastAsia="zh-CN"/>
              </w:rPr>
              <w:t xml:space="preserve">FFS </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u w:val="single"/>
          <w:lang w:val="en-US" w:eastAsia="zh-CN"/>
        </w:rPr>
      </w:pPr>
      <w:r>
        <w:rPr>
          <w:rFonts w:hint="eastAsia" w:cs="Times New Roman"/>
          <w:b/>
          <w:bCs/>
          <w:i/>
          <w:iCs/>
          <w:sz w:val="20"/>
          <w:szCs w:val="20"/>
          <w:u w:val="single"/>
          <w:lang w:val="en-US" w:eastAsia="zh-CN"/>
        </w:rPr>
        <w:t>PC1.5 intra-band CA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Although some companies mentioned that the duty cycle solution for SAR compliance is never used in the filed, we think it is still needed to be considered for PC1.5 intra-band CA from the completeness of specification due to duty cycle solution is already defined for PC2 intra-band CA in the spec. Otherwise, it may cause specification improvements or maintenance problem in the future.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According to the following general descriptions for intra-band contiguous and non-contiguous CA in sub-clause 4.2:  </w:t>
      </w:r>
    </w:p>
    <w:p>
      <w:pPr>
        <w:pStyle w:val="46"/>
        <w:keepNext/>
        <w:keepLines/>
        <w:pageBreakBefore w:val="0"/>
        <w:kinsoku/>
        <w:wordWrap/>
        <w:topLinePunct w:val="0"/>
        <w:bidi w:val="0"/>
        <w:rPr>
          <w:i/>
          <w:iCs/>
          <w:sz w:val="20"/>
          <w:szCs w:val="20"/>
        </w:rPr>
      </w:pPr>
      <w:r>
        <w:rPr>
          <w:i/>
          <w:iCs/>
          <w:sz w:val="20"/>
          <w:szCs w:val="20"/>
        </w:rPr>
        <w:t>d)</w:t>
      </w:r>
      <w:r>
        <w:rPr>
          <w:i/>
          <w:iCs/>
          <w:sz w:val="20"/>
          <w:szCs w:val="20"/>
        </w:rPr>
        <w:tab/>
      </w:r>
      <w:r>
        <w:rPr>
          <w:i/>
          <w:iCs/>
          <w:sz w:val="20"/>
          <w:szCs w:val="20"/>
        </w:rPr>
        <w:t>All the requirements for intra-band contiguous and non-contiguous CA apply under the assumption of the same slot format indicated by UL-DL-configuration-common in the PCell and SCells for NR SA.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The above text are described in power class agnostic manner, so it is nature to be applicable for PC1.5 intra-band contiguous and non-contiguous CA. Due to the component carries in the UL intra-band CA are synchronized, it is feasible to </w:t>
      </w:r>
      <w:r>
        <w:rPr>
          <w:rFonts w:hint="eastAsia" w:eastAsia="宋体" w:cs="Times New Roman"/>
          <w:i w:val="0"/>
          <w:iCs w:val="0"/>
          <w:color w:val="auto"/>
          <w:sz w:val="20"/>
          <w:szCs w:val="22"/>
          <w:highlight w:val="none"/>
          <w:lang w:val="en-US" w:eastAsia="zh-CN"/>
        </w:rPr>
        <w:t>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iCs/>
          <w:color w:val="auto"/>
          <w:sz w:val="20"/>
          <w:szCs w:val="22"/>
          <w:highlight w:val="none"/>
          <w:lang w:val="en-US" w:eastAsia="zh-CN"/>
        </w:rPr>
      </w:pPr>
      <w:r>
        <w:rPr>
          <w:rFonts w:hint="eastAsia" w:cs="Times New Roman"/>
          <w:b/>
          <w:bCs/>
          <w:i/>
          <w:iCs/>
          <w:sz w:val="20"/>
          <w:szCs w:val="20"/>
          <w:lang w:val="en-US" w:eastAsia="zh-CN"/>
        </w:rPr>
        <w:t xml:space="preserve">Proposal 1: For duty cycle based SAR solution, </w:t>
      </w:r>
      <w:r>
        <w:rPr>
          <w:rFonts w:hint="eastAsia" w:cs="Times New Roman"/>
          <w:b/>
          <w:bCs/>
          <w:i/>
          <w:iCs/>
          <w:color w:val="auto"/>
          <w:sz w:val="20"/>
          <w:szCs w:val="22"/>
          <w:highlight w:val="none"/>
          <w:lang w:val="en-US" w:eastAsia="zh-CN"/>
        </w:rPr>
        <w:t>reu</w:t>
      </w:r>
      <w:r>
        <w:rPr>
          <w:rFonts w:hint="default" w:eastAsia="宋体" w:cs="Times New Roman"/>
          <w:b/>
          <w:bCs/>
          <w:i/>
          <w:iCs/>
          <w:color w:val="auto"/>
          <w:sz w:val="20"/>
          <w:szCs w:val="22"/>
          <w:highlight w:val="none"/>
          <w:lang w:val="en-US" w:eastAsia="zh-CN"/>
        </w:rPr>
        <w:t xml:space="preserve">se the </w:t>
      </w:r>
      <w:r>
        <w:rPr>
          <w:rFonts w:hint="eastAsia" w:cs="Times New Roman"/>
          <w:b/>
          <w:bCs/>
          <w:i/>
          <w:iCs/>
          <w:color w:val="auto"/>
          <w:sz w:val="20"/>
          <w:szCs w:val="22"/>
          <w:highlight w:val="none"/>
          <w:lang w:val="en-US" w:eastAsia="zh-CN"/>
        </w:rPr>
        <w:t xml:space="preserve">PC1.5 </w:t>
      </w:r>
      <w:r>
        <w:rPr>
          <w:rFonts w:hint="default" w:eastAsia="宋体" w:cs="Times New Roman"/>
          <w:b/>
          <w:bCs/>
          <w:i/>
          <w:iCs/>
          <w:color w:val="auto"/>
          <w:sz w:val="20"/>
          <w:szCs w:val="22"/>
          <w:highlight w:val="none"/>
          <w:lang w:val="en-US" w:eastAsia="zh-CN"/>
        </w:rPr>
        <w:t xml:space="preserve">single CC </w:t>
      </w:r>
      <w:r>
        <w:rPr>
          <w:rFonts w:hint="eastAsia" w:eastAsia="宋体" w:cs="Times New Roman"/>
          <w:b/>
          <w:bCs/>
          <w:i/>
          <w:iCs/>
          <w:color w:val="auto"/>
          <w:sz w:val="20"/>
          <w:szCs w:val="22"/>
          <w:highlight w:val="none"/>
          <w:lang w:val="en-US" w:eastAsia="zh-CN"/>
        </w:rPr>
        <w:t>capability for PC1.5 TDD UL intra-band contiguous and non-contiguous CA.</w:t>
      </w:r>
      <w:r>
        <w:rPr>
          <w:rFonts w:hint="eastAsia" w:eastAsia="宋体" w:cs="Times New Roman"/>
          <w:i/>
          <w:iCs/>
          <w:color w:val="auto"/>
          <w:sz w:val="20"/>
          <w:szCs w:val="22"/>
          <w:highlight w:val="none"/>
          <w:lang w:val="en-US" w:eastAsia="zh-CN"/>
        </w:rPr>
        <w:t xml:space="preserve">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u w:val="single"/>
          <w:lang w:val="en-US" w:eastAsia="zh-CN"/>
        </w:rPr>
      </w:pPr>
      <w:r>
        <w:rPr>
          <w:rFonts w:hint="eastAsia" w:cs="Times New Roman"/>
          <w:b/>
          <w:bCs/>
          <w:i/>
          <w:iCs/>
          <w:sz w:val="20"/>
          <w:szCs w:val="20"/>
          <w:u w:val="single"/>
          <w:lang w:val="en-US" w:eastAsia="zh-CN"/>
        </w:rPr>
        <w:t>PC1.5 inter-band CA</w:t>
      </w:r>
    </w:p>
    <w:p>
      <w:pPr>
        <w:keepNext/>
        <w:keepLines/>
        <w:pageBreakBefore w:val="0"/>
        <w:widowControl w:val="0"/>
        <w:numPr>
          <w:ilvl w:val="0"/>
          <w:numId w:val="0"/>
        </w:numPr>
        <w:kinsoku/>
        <w:wordWrap/>
        <w:topLinePunct w:val="0"/>
        <w:bidi w:val="0"/>
        <w:snapToGrid w:val="0"/>
        <w:spacing w:before="137" w:beforeLines="-2147483648" w:after="120" w:afterLines="-2147483648"/>
        <w:ind w:leftChars="0"/>
        <w:jc w:val="left"/>
        <w:rPr>
          <w:rFonts w:hint="default" w:cs="Times New Roman"/>
          <w:sz w:val="20"/>
          <w:szCs w:val="20"/>
          <w:lang w:val="en-US" w:eastAsia="zh-CN"/>
        </w:rPr>
      </w:pPr>
      <w:r>
        <w:rPr>
          <w:rFonts w:hint="eastAsia" w:cs="Times New Roman"/>
          <w:sz w:val="20"/>
          <w:szCs w:val="20"/>
          <w:lang w:val="en-US" w:eastAsia="zh-CN"/>
        </w:rPr>
        <w:t xml:space="preserve">Currently, there are no example band combinations in this WID, and there were no discussions on how to select the example band combinations. So it seems the band combination scenarios in this WID should totally depend on the requested band combinations in the corresponding HPUE basket WID. </w:t>
      </w:r>
    </w:p>
    <w:p>
      <w:pPr>
        <w:keepNext/>
        <w:keepLines/>
        <w:pageBreakBefore w:val="0"/>
        <w:widowControl w:val="0"/>
        <w:numPr>
          <w:ilvl w:val="0"/>
          <w:numId w:val="0"/>
        </w:numPr>
        <w:kinsoku/>
        <w:wordWrap/>
        <w:topLinePunct w:val="0"/>
        <w:bidi w:val="0"/>
        <w:snapToGrid w:val="0"/>
        <w:spacing w:before="137" w:beforeLines="-2147483648" w:after="120" w:afterLines="-2147483648"/>
        <w:ind w:leftChars="0"/>
        <w:jc w:val="left"/>
        <w:rPr>
          <w:rFonts w:hint="default" w:eastAsia="宋体" w:cs="Times New Roman"/>
          <w:sz w:val="20"/>
          <w:lang w:val="en-US" w:eastAsia="zh-CN" w:bidi="ar-SA"/>
        </w:rPr>
      </w:pPr>
      <w:r>
        <w:rPr>
          <w:rFonts w:hint="eastAsia" w:cs="Times New Roman"/>
          <w:sz w:val="20"/>
          <w:szCs w:val="20"/>
          <w:lang w:val="en-US" w:eastAsia="zh-CN"/>
        </w:rPr>
        <w:t xml:space="preserve">For the duty cycle based SAR solution, we think it </w:t>
      </w:r>
      <w:r>
        <w:rPr>
          <w:rFonts w:hint="eastAsia" w:eastAsia="宋体" w:cs="Times New Roman"/>
          <w:sz w:val="20"/>
          <w:lang w:val="en-US" w:eastAsia="zh-CN" w:bidi="ar-SA"/>
        </w:rPr>
        <w:t xml:space="preserve">should be </w:t>
      </w:r>
      <w:r>
        <w:rPr>
          <w:rFonts w:hint="eastAsia" w:cs="Times New Roman"/>
          <w:sz w:val="20"/>
          <w:lang w:val="en-US" w:eastAsia="zh-CN" w:bidi="ar-SA"/>
        </w:rPr>
        <w:t xml:space="preserve">based on the scenarios. </w:t>
      </w:r>
      <w:r>
        <w:rPr>
          <w:rFonts w:hint="eastAsia" w:cs="Times New Roman"/>
          <w:sz w:val="20"/>
          <w:szCs w:val="20"/>
          <w:lang w:val="en-US" w:eastAsia="zh-CN"/>
        </w:rPr>
        <w:t xml:space="preserve">it would be foreseen that the duty cycle scheme is different for the band combination between PC2 FDD+PC2/1.5 TDD and PC2 TDD+PC2/1.5 TDD, since there is no duty cycle scheme introduced for PC2 FDD single band, instead P-MPR scheme is used to meet the SAR requirements. Therefore, we think there is no need to define duty cycle scheme for the </w:t>
      </w:r>
      <w:r>
        <w:rPr>
          <w:rFonts w:hint="eastAsia" w:cs="Times New Roman"/>
          <w:b w:val="0"/>
          <w:bCs w:val="0"/>
          <w:i w:val="0"/>
          <w:iCs w:val="0"/>
          <w:sz w:val="20"/>
          <w:szCs w:val="20"/>
          <w:lang w:val="en-US" w:eastAsia="zh-CN"/>
        </w:rPr>
        <w:t xml:space="preserve">2Tx PC1.5 NR inter-band UL CA including PC2 FDD band since it would not proper to assume the 100% duty cycle for PC2 FDD band, unlike PC3 FDD band. In the other words, </w:t>
      </w:r>
      <w:r>
        <w:rPr>
          <w:rFonts w:hint="eastAsia" w:eastAsia="宋体" w:cs="Times New Roman"/>
          <w:sz w:val="20"/>
          <w:lang w:val="en-US" w:eastAsia="zh-CN" w:bidi="ar-SA"/>
        </w:rPr>
        <w:t>d</w:t>
      </w:r>
      <w:r>
        <w:rPr>
          <w:rFonts w:hint="eastAsia" w:ascii="Times New Roman" w:hAnsi="Times New Roman" w:eastAsia="宋体" w:cs="Times New Roman"/>
          <w:sz w:val="20"/>
          <w:lang w:val="en-US" w:eastAsia="zh-CN" w:bidi="ar-SA"/>
        </w:rPr>
        <w:t xml:space="preserve">uty-cycle solution </w:t>
      </w:r>
      <w:r>
        <w:rPr>
          <w:rFonts w:hint="eastAsia" w:eastAsia="宋体" w:cs="Times New Roman"/>
          <w:sz w:val="20"/>
          <w:lang w:val="en-US" w:eastAsia="zh-CN" w:bidi="ar-SA"/>
        </w:rPr>
        <w:t xml:space="preserve">should be </w:t>
      </w:r>
      <w:r>
        <w:rPr>
          <w:rFonts w:hint="eastAsia" w:ascii="Times New Roman" w:hAnsi="Times New Roman" w:eastAsia="宋体" w:cs="Times New Roman"/>
          <w:sz w:val="20"/>
          <w:lang w:val="en-US" w:eastAsia="zh-CN" w:bidi="ar-SA"/>
        </w:rPr>
        <w:t>considered for limited scenarios</w:t>
      </w:r>
      <w:r>
        <w:rPr>
          <w:rFonts w:hint="eastAsia" w:eastAsia="宋体" w:cs="Times New Roman"/>
          <w:sz w:val="20"/>
          <w:lang w:val="en-US" w:eastAsia="zh-CN" w:bidi="ar-SA"/>
        </w:rPr>
        <w:t>.</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r>
        <w:rPr>
          <w:rFonts w:hint="eastAsia" w:cs="Times New Roman"/>
          <w:b/>
          <w:bCs/>
          <w:i/>
          <w:iCs/>
          <w:sz w:val="20"/>
          <w:szCs w:val="20"/>
          <w:lang w:val="en-US" w:eastAsia="zh-CN"/>
        </w:rPr>
        <w:t xml:space="preserve">Proposal 2: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Only consider P-MPR scheme for the band combination including PC2 FDD band, i.e. FDD+FDD, FDD+TDD</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duty cycle scheme is applied to the band combination including pure TDD bands, i.e. TDD+TDD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u w:val="singl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u w:val="none"/>
          <w:lang w:val="en-US" w:eastAsia="zh-CN"/>
        </w:rPr>
      </w:pPr>
      <w:r>
        <w:rPr>
          <w:rFonts w:hint="eastAsia"/>
          <w:b/>
          <w:bCs/>
          <w:sz w:val="20"/>
          <w:szCs w:val="20"/>
          <w:u w:val="none"/>
          <w:lang w:val="en-US" w:eastAsia="zh-CN"/>
        </w:rPr>
        <w:t>2.2 MSD rule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In addition, the MSD rule was also included to be discussed in this WID: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4.1 MSD rules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b/>
                <w:kern w:val="0"/>
                <w:sz w:val="20"/>
                <w:lang w:val="en-GB" w:eastAsia="zh-CN"/>
              </w:rPr>
            </w:pPr>
            <w:r>
              <w:rPr>
                <w:rFonts w:ascii="Times New Roman" w:hAnsi="Times New Roman" w:eastAsia="Times New Roman" w:cs="Times New Roman"/>
                <w:b/>
                <w:kern w:val="0"/>
                <w:sz w:val="20"/>
                <w:lang w:val="en-GB" w:eastAsia="zh-CN"/>
              </w:rPr>
              <w:t>Way forward:</w:t>
            </w:r>
          </w:p>
          <w:p>
            <w:pPr>
              <w:numPr>
                <w:ilvl w:val="0"/>
                <w:numId w:val="10"/>
              </w:numPr>
              <w:overflowPunct/>
              <w:autoSpaceDE/>
              <w:autoSpaceDN/>
              <w:adjustRightInd/>
              <w:spacing w:beforeLines="-2147483648" w:after="120" w:afterLines="-2147483648" w:line="240" w:lineRule="auto"/>
              <w:ind w:left="420" w:hanging="420"/>
              <w:jc w:val="left"/>
              <w:textAlignment w:val="auto"/>
              <w:rPr>
                <w:rFonts w:ascii="Times New Roman" w:hAnsi="Times New Roman" w:eastAsia="等线" w:cs="Times New Roman"/>
                <w:kern w:val="0"/>
                <w:sz w:val="20"/>
                <w:lang w:val="en-US" w:eastAsia="en-GB"/>
              </w:rPr>
            </w:pPr>
            <w:r>
              <w:rPr>
                <w:rFonts w:ascii="Times New Roman" w:hAnsi="Times New Roman" w:eastAsia="等线" w:cs="Times New Roman"/>
                <w:kern w:val="0"/>
                <w:sz w:val="20"/>
                <w:lang w:val="en-US" w:eastAsia="en-GB"/>
              </w:rPr>
              <w:t>RAN4 can discuss the MSD general rules, and strive to down-select among the following options</w:t>
            </w:r>
          </w:p>
          <w:p>
            <w:pPr>
              <w:numPr>
                <w:ilvl w:val="0"/>
                <w:numId w:val="11"/>
              </w:numPr>
              <w:overflowPunct/>
              <w:autoSpaceDE/>
              <w:autoSpaceDN/>
              <w:adjustRightInd/>
              <w:spacing w:beforeLines="-2147483648" w:after="120" w:afterLines="-2147483648" w:line="240" w:lineRule="auto"/>
              <w:ind w:left="525" w:leftChars="250"/>
              <w:jc w:val="left"/>
              <w:textAlignment w:val="auto"/>
              <w:rPr>
                <w:rFonts w:ascii="Times New Roman" w:hAnsi="Times New Roman" w:eastAsia="等线" w:cs="Times New Roman"/>
                <w:kern w:val="0"/>
                <w:sz w:val="20"/>
                <w:szCs w:val="24"/>
                <w:lang w:val="en-GB" w:eastAsia="zh-CN"/>
              </w:rPr>
            </w:pPr>
            <w:r>
              <w:rPr>
                <w:rFonts w:ascii="Times New Roman" w:hAnsi="Times New Roman" w:eastAsia="等线" w:cs="Times New Roman"/>
                <w:kern w:val="0"/>
                <w:sz w:val="20"/>
                <w:szCs w:val="24"/>
                <w:lang w:val="en-GB" w:eastAsia="zh-CN"/>
              </w:rPr>
              <w:t>PC2/PC1.5 MSD requirements are not specified. UE shall meet the Rx requirements of default power class, with default power class transmission</w:t>
            </w:r>
          </w:p>
          <w:p>
            <w:pPr>
              <w:numPr>
                <w:ilvl w:val="0"/>
                <w:numId w:val="11"/>
              </w:numPr>
              <w:overflowPunct/>
              <w:autoSpaceDE/>
              <w:autoSpaceDN/>
              <w:adjustRightInd/>
              <w:spacing w:beforeLines="-2147483648" w:after="120" w:afterLines="-2147483648" w:line="240" w:lineRule="auto"/>
              <w:ind w:left="525" w:leftChars="250"/>
              <w:jc w:val="left"/>
              <w:textAlignment w:val="auto"/>
              <w:rPr>
                <w:rFonts w:ascii="Times New Roman" w:hAnsi="Times New Roman" w:eastAsia="等线" w:cs="Times New Roman"/>
                <w:kern w:val="0"/>
                <w:sz w:val="20"/>
                <w:szCs w:val="24"/>
                <w:lang w:val="en-GB" w:eastAsia="zh-CN"/>
              </w:rPr>
            </w:pPr>
            <w:r>
              <w:rPr>
                <w:rFonts w:ascii="Times New Roman" w:hAnsi="Times New Roman" w:eastAsia="等线" w:cs="Times New Roman"/>
                <w:kern w:val="0"/>
                <w:sz w:val="20"/>
                <w:szCs w:val="24"/>
                <w:lang w:val="en-GB" w:eastAsia="zh-CN"/>
              </w:rPr>
              <w:t>Using some equations or look-up tables or other means to derive PC2/PC1.5 MSD from respective PC3 MSD</w:t>
            </w:r>
          </w:p>
          <w:p>
            <w:pPr>
              <w:numPr>
                <w:ilvl w:val="0"/>
                <w:numId w:val="11"/>
              </w:numPr>
              <w:overflowPunct/>
              <w:autoSpaceDE/>
              <w:autoSpaceDN/>
              <w:adjustRightInd/>
              <w:spacing w:beforeLines="-2147483648" w:after="120" w:afterLines="-2147483648" w:line="240" w:lineRule="auto"/>
              <w:ind w:left="525" w:leftChars="250"/>
              <w:jc w:val="left"/>
              <w:textAlignment w:val="auto"/>
              <w:rPr>
                <w:rFonts w:ascii="Times New Roman" w:hAnsi="Times New Roman" w:eastAsia="等线" w:cs="Times New Roman"/>
                <w:kern w:val="0"/>
                <w:sz w:val="20"/>
                <w:szCs w:val="24"/>
                <w:lang w:val="en-GB" w:eastAsia="zh-CN"/>
              </w:rPr>
            </w:pPr>
            <w:r>
              <w:rPr>
                <w:rFonts w:ascii="Times New Roman" w:hAnsi="Times New Roman" w:eastAsia="等线" w:cs="Times New Roman"/>
                <w:kern w:val="0"/>
                <w:sz w:val="20"/>
                <w:szCs w:val="24"/>
                <w:lang w:val="en-GB" w:eastAsia="zh-CN"/>
              </w:rPr>
              <w:t>Other solutions are not precluded</w:t>
            </w:r>
          </w:p>
          <w:p>
            <w:pPr>
              <w:overflowPunct/>
              <w:autoSpaceDE/>
              <w:autoSpaceDN/>
              <w:adjustRightInd/>
              <w:spacing w:beforeLines="-2147483648" w:after="120" w:afterLines="-2147483648" w:line="240" w:lineRule="auto"/>
              <w:ind w:left="920"/>
              <w:jc w:val="left"/>
              <w:textAlignment w:val="auto"/>
              <w:rPr>
                <w:rFonts w:hint="eastAsia" w:cs="Times New Roman"/>
                <w:b/>
                <w:bCs/>
                <w:i/>
                <w:iCs/>
                <w:sz w:val="20"/>
                <w:szCs w:val="20"/>
                <w:vertAlign w:val="baseline"/>
                <w:lang w:val="en-GB" w:eastAsia="zh-CN"/>
              </w:rPr>
            </w:pPr>
            <w:r>
              <w:rPr>
                <w:rFonts w:ascii="Times New Roman" w:hAnsi="Times New Roman" w:eastAsia="等线" w:cs="Times New Roman"/>
                <w:kern w:val="0"/>
                <w:sz w:val="20"/>
                <w:szCs w:val="24"/>
                <w:lang w:val="en-GB" w:eastAsia="zh-CN"/>
              </w:rPr>
              <w:t>NOTE: RAN4 continues normal procedure specifying MSD for all PC’s band combination supports until down-selection is done</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As far as we saw, the MSD related rules was discussed before R18 and RAN4 continue discussing it [3~10] but in different agenda items in R19. We don</w:t>
      </w:r>
      <w:r>
        <w:rPr>
          <w:rFonts w:hint="default"/>
          <w:sz w:val="20"/>
          <w:szCs w:val="20"/>
          <w:lang w:val="en-US" w:eastAsia="zh-CN"/>
        </w:rPr>
        <w:t>’</w:t>
      </w:r>
      <w:r>
        <w:rPr>
          <w:rFonts w:hint="eastAsia"/>
          <w:sz w:val="20"/>
          <w:szCs w:val="20"/>
          <w:lang w:val="en-US" w:eastAsia="zh-CN"/>
        </w:rPr>
        <w:t>t think it is a good idea to discuss the MSD rule in different places in parallel, neither in this WID.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Without example band combinations, and without MSD related objectives, even with partial band combination scenarios, some companies still want to discuss the MSD rule in this WID although we think it is not the right place to discuss this issue.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Nevertheless, we are not against to discuss the MSD rules for the HPUE band combination, no matter where to discuss it but the discussion should be happened in the same place.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the MSD rules mentioned in the WF, it can be seen that companies have strong will to simplify the existing MSD table for HPUE band combination considering the huge work for HPUE artificial MSD calculation based on the worse case or different assumptions which cause high MSD value. In general, the high MSD value derived from the worse case is hardly happened in the practical.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szCs w:val="20"/>
          <w:lang w:val="en-US" w:eastAsia="zh-CN"/>
        </w:rPr>
      </w:pPr>
      <w:r>
        <w:rPr>
          <w:rFonts w:hint="eastAsia"/>
          <w:b/>
          <w:bCs/>
          <w:i/>
          <w:iCs/>
          <w:sz w:val="20"/>
          <w:szCs w:val="20"/>
          <w:lang w:val="en-US" w:eastAsia="zh-CN"/>
        </w:rPr>
        <w:t>Observation: Companies have strong will to simplify the existing MSD table for HPUE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kern w:val="0"/>
          <w:sz w:val="20"/>
          <w:szCs w:val="24"/>
          <w:lang w:val="en-US" w:eastAsia="zh-CN"/>
        </w:rPr>
      </w:pPr>
      <w:r>
        <w:rPr>
          <w:rFonts w:hint="eastAsia"/>
          <w:sz w:val="20"/>
          <w:szCs w:val="20"/>
          <w:lang w:val="en-US" w:eastAsia="zh-CN"/>
        </w:rPr>
        <w:t xml:space="preserve">We think it is feasible to adopt some equations </w:t>
      </w:r>
      <w:r>
        <w:rPr>
          <w:rFonts w:ascii="Times New Roman" w:hAnsi="Times New Roman" w:eastAsia="等线" w:cs="Times New Roman"/>
          <w:kern w:val="0"/>
          <w:sz w:val="20"/>
          <w:szCs w:val="24"/>
          <w:lang w:val="en-GB" w:eastAsia="zh-CN"/>
        </w:rPr>
        <w:t>or look-up tables</w:t>
      </w:r>
      <w:r>
        <w:rPr>
          <w:rFonts w:hint="eastAsia" w:eastAsia="等线" w:cs="Times New Roman"/>
          <w:kern w:val="0"/>
          <w:sz w:val="20"/>
          <w:szCs w:val="24"/>
          <w:lang w:val="en-US" w:eastAsia="zh-CN"/>
        </w:rPr>
        <w:t xml:space="preserve"> </w:t>
      </w:r>
      <w:r>
        <w:rPr>
          <w:rFonts w:hint="eastAsia"/>
          <w:sz w:val="20"/>
          <w:szCs w:val="20"/>
          <w:lang w:val="en-US" w:eastAsia="zh-CN"/>
        </w:rPr>
        <w:t xml:space="preserve">to </w:t>
      </w:r>
      <w:r>
        <w:rPr>
          <w:rFonts w:ascii="Times New Roman" w:hAnsi="Times New Roman" w:eastAsia="等线" w:cs="Times New Roman"/>
          <w:kern w:val="0"/>
          <w:sz w:val="20"/>
          <w:szCs w:val="24"/>
          <w:lang w:val="en-GB" w:eastAsia="zh-CN"/>
        </w:rPr>
        <w:t>derive PC2/PC1.5 MSD from respective PC3 MSD</w:t>
      </w:r>
      <w:r>
        <w:rPr>
          <w:rFonts w:hint="eastAsia" w:eastAsia="等线" w:cs="Times New Roman"/>
          <w:kern w:val="0"/>
          <w:sz w:val="20"/>
          <w:szCs w:val="24"/>
          <w:lang w:val="en-US" w:eastAsia="zh-CN"/>
        </w:rPr>
        <w:t xml:space="preserve">, which is to adopt similar approaches in [3], also we think the approaches proposed in [6] are a good way to go. In this way, there is no need to do the MSD evaluation for HPUE band combination if the MSD requirements are defined for the corresponding PC3 band combination, which are: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vertAlign w:val="subscript"/>
          <w:lang w:val="en-US" w:eastAsia="zh-CN"/>
        </w:rPr>
      </w:pPr>
      <w:r>
        <w:rPr>
          <w:rFonts w:hint="eastAsia" w:eastAsia="等线" w:cs="Times New Roman"/>
          <w:kern w:val="0"/>
          <w:sz w:val="20"/>
          <w:szCs w:val="24"/>
          <w:lang w:val="en-US" w:eastAsia="zh-CN"/>
        </w:rPr>
        <w:t>PC2 MSD = PC3 MSD + deltaMSD</w:t>
      </w:r>
      <w:r>
        <w:rPr>
          <w:rFonts w:hint="eastAsia" w:eastAsia="等线" w:cs="Times New Roman"/>
          <w:kern w:val="0"/>
          <w:sz w:val="20"/>
          <w:szCs w:val="24"/>
          <w:vertAlign w:val="subscript"/>
          <w:lang w:val="en-US" w:eastAsia="zh-CN"/>
        </w:rPr>
        <w:t>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vertAlign w:val="subscript"/>
          <w:lang w:val="en-US" w:eastAsia="zh-CN"/>
        </w:rPr>
      </w:pPr>
      <w:r>
        <w:rPr>
          <w:rFonts w:hint="eastAsia" w:eastAsia="等线" w:cs="Times New Roman"/>
          <w:kern w:val="0"/>
          <w:sz w:val="20"/>
          <w:szCs w:val="24"/>
          <w:lang w:val="en-US" w:eastAsia="zh-CN"/>
        </w:rPr>
        <w:t>PC1.5 MSD = PC3 MSD + deltaMSD</w:t>
      </w:r>
      <w:r>
        <w:rPr>
          <w:rFonts w:hint="eastAsia" w:eastAsia="等线" w:cs="Times New Roman"/>
          <w:kern w:val="0"/>
          <w:sz w:val="20"/>
          <w:szCs w:val="24"/>
          <w:vertAlign w:val="subscript"/>
          <w:lang w:val="en-US" w:eastAsia="zh-CN"/>
        </w:rPr>
        <w:t>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lang w:val="en-US" w:eastAsia="zh-CN"/>
        </w:rPr>
      </w:pPr>
      <w:r>
        <w:rPr>
          <w:rFonts w:hint="eastAsia" w:eastAsia="等线" w:cs="Times New Roman"/>
          <w:kern w:val="0"/>
          <w:sz w:val="20"/>
          <w:szCs w:val="24"/>
          <w:lang w:val="en-US" w:eastAsia="zh-CN"/>
        </w:rPr>
        <w:t xml:space="preserve">For the deltaMSD, different values may be needed for different ranges of PC3 MSD (i.e.: Look-Up-Table in [6])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eastAsia="等线" w:cs="Times New Roman"/>
          <w:kern w:val="0"/>
          <w:sz w:val="20"/>
          <w:szCs w:val="24"/>
          <w:lang w:val="en-US" w:eastAsia="zh-CN"/>
        </w:rPr>
        <w:t>Moreover, th</w:t>
      </w:r>
      <w:r>
        <w:rPr>
          <w:rFonts w:hint="eastAsia"/>
          <w:sz w:val="20"/>
          <w:szCs w:val="20"/>
          <w:lang w:val="en-US" w:eastAsia="zh-CN"/>
        </w:rPr>
        <w:t>e MSD rule should be applied to all 2Tx/3Tx HPUE band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3Tx HPUE band combination, PC3 3Tx band combinations were supported by default. But there were no discussions how to derive PC3 3Tx MSD, instead the MSD requirements for HPUE 3Tx band combination were reused from the corresponding HPUE 2Tx band combination, we think this rule shall also be applied for all the applicable 3Tx HPUE band combination in R19.</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 xml:space="preserve">Proposal 3: It is feasible to use some equations or </w:t>
      </w:r>
      <w:r>
        <w:rPr>
          <w:rFonts w:hint="eastAsia" w:eastAsia="宋体" w:cs="Times New Roman"/>
          <w:b/>
          <w:bCs/>
          <w:i/>
          <w:iCs/>
          <w:kern w:val="2"/>
          <w:sz w:val="20"/>
          <w:szCs w:val="20"/>
          <w:lang w:val="en-US" w:eastAsia="zh-CN"/>
        </w:rPr>
        <w:t>Look-Up-Table</w:t>
      </w:r>
      <w:r>
        <w:rPr>
          <w:rFonts w:hint="eastAsia" w:cs="Times New Roman"/>
          <w:b/>
          <w:bCs/>
          <w:i/>
          <w:iCs/>
          <w:sz w:val="20"/>
          <w:szCs w:val="20"/>
          <w:lang w:val="en-US" w:eastAsia="zh-CN"/>
        </w:rPr>
        <w:t xml:space="preserve"> to </w:t>
      </w:r>
      <w:r>
        <w:rPr>
          <w:rFonts w:hint="eastAsia" w:cs="Times New Roman"/>
          <w:b/>
          <w:bCs/>
          <w:i/>
          <w:iCs/>
          <w:sz w:val="20"/>
          <w:szCs w:val="20"/>
          <w:lang w:val="en-GB" w:eastAsia="zh-CN"/>
        </w:rPr>
        <w:t xml:space="preserve">derive </w:t>
      </w:r>
      <w:r>
        <w:rPr>
          <w:rFonts w:hint="eastAsia" w:cs="Times New Roman"/>
          <w:b/>
          <w:bCs/>
          <w:i/>
          <w:iCs/>
          <w:sz w:val="20"/>
          <w:szCs w:val="20"/>
          <w:lang w:val="en-US" w:eastAsia="zh-CN"/>
        </w:rPr>
        <w:t xml:space="preserve">the MSD for 2Tx </w:t>
      </w:r>
      <w:r>
        <w:rPr>
          <w:rFonts w:hint="eastAsia" w:cs="Times New Roman"/>
          <w:b/>
          <w:bCs/>
          <w:i/>
          <w:iCs/>
          <w:sz w:val="20"/>
          <w:szCs w:val="20"/>
          <w:lang w:val="en-GB" w:eastAsia="zh-CN"/>
        </w:rPr>
        <w:t>PC2/PC1.5</w:t>
      </w:r>
      <w:r>
        <w:rPr>
          <w:rFonts w:hint="eastAsia" w:cs="Times New Roman"/>
          <w:b/>
          <w:bCs/>
          <w:i/>
          <w:iCs/>
          <w:sz w:val="20"/>
          <w:szCs w:val="20"/>
          <w:lang w:val="en-US" w:eastAsia="zh-CN"/>
        </w:rPr>
        <w:t xml:space="preserve"> inter-band UL CA</w:t>
      </w:r>
      <w:r>
        <w:rPr>
          <w:rFonts w:hint="eastAsia" w:cs="Times New Roman"/>
          <w:b/>
          <w:bCs/>
          <w:i/>
          <w:iCs/>
          <w:sz w:val="20"/>
          <w:szCs w:val="20"/>
          <w:lang w:val="en-GB" w:eastAsia="zh-CN"/>
        </w:rPr>
        <w:t xml:space="preserve"> from respective PC3 MSD</w:t>
      </w:r>
      <w:r>
        <w:rPr>
          <w:rFonts w:hint="eastAsia" w:cs="Times New Roman"/>
          <w:b/>
          <w:bCs/>
          <w:i/>
          <w:iCs/>
          <w:sz w:val="20"/>
          <w:szCs w:val="20"/>
          <w:lang w:val="en-US" w:eastAsia="zh-CN"/>
        </w:rPr>
        <w:t>, and the MSD rule should be applied to all 2Tx/3Tx HPUE band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bookmarkStart w:id="15" w:name="OLE_LINK20"/>
      <w:r>
        <w:rPr>
          <w:rFonts w:hint="eastAsia" w:cs="Times New Roman"/>
          <w:b/>
          <w:bCs/>
          <w:i/>
          <w:iCs/>
          <w:sz w:val="20"/>
          <w:szCs w:val="20"/>
          <w:lang w:val="en-US" w:eastAsia="zh-CN"/>
        </w:rPr>
        <w:t>Proposal 4: For 3Tx PC2/PC1.5 inter-band UL CA, t</w:t>
      </w:r>
      <w:r>
        <w:rPr>
          <w:rFonts w:hint="eastAsia"/>
          <w:b/>
          <w:bCs/>
          <w:i/>
          <w:iCs/>
          <w:sz w:val="20"/>
          <w:szCs w:val="20"/>
          <w:lang w:val="en-US" w:eastAsia="zh-CN"/>
        </w:rPr>
        <w:t>he MSD requirements are reused from the corresponding HPUE 2Tx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r>
        <w:rPr>
          <w:rFonts w:hint="eastAsia" w:cs="Times New Roman"/>
          <w:i w:val="0"/>
          <w:iCs w:val="0"/>
          <w:sz w:val="20"/>
          <w:szCs w:val="22"/>
          <w:highlight w:val="none"/>
          <w:lang w:val="en-US" w:eastAsia="zh-CN"/>
        </w:rPr>
        <w:t>Once the MSD rule for all HPUE band combination, more discussion should be needed for how to treat the parallel work in the corresponding basket WID, and which release should be reflected for the existing MSD requirements with the new MSD rule.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Proposal 5: How/When to reflect the new agreed MSD for the existing MSD requirements are FFS.</w:t>
      </w:r>
    </w:p>
    <w:bookmarkEnd w:id="11"/>
    <w:bookmarkEnd w:id="12"/>
    <w:bookmarkEnd w:id="13"/>
    <w:bookmarkEnd w:id="14"/>
    <w:bookmarkEnd w:id="1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b w:val="0"/>
          <w:bCs w:val="0"/>
          <w:kern w:val="0"/>
          <w:sz w:val="20"/>
          <w:szCs w:val="20"/>
          <w:highlight w:val="none"/>
          <w:u w:val="single"/>
          <w:lang w:val="en-US" w:eastAsia="zh-CN" w:bidi="ar-SA"/>
        </w:rPr>
      </w:pPr>
      <w:r>
        <w:rPr>
          <w:rFonts w:hint="eastAsia"/>
          <w:b/>
          <w:bCs w:val="0"/>
          <w:i/>
          <w:iCs/>
          <w:sz w:val="20"/>
          <w:szCs w:val="20"/>
          <w:u w:val="single"/>
          <w:lang w:val="en-US" w:eastAsia="zh-CN"/>
        </w:rPr>
        <w:t>duty cycle:</w:t>
      </w:r>
    </w:p>
    <w:p>
      <w:pPr>
        <w:keepNext/>
        <w:keepLines/>
        <w:widowControl w:val="0"/>
        <w:numPr>
          <w:ilvl w:val="-1"/>
          <w:numId w:val="0"/>
        </w:numPr>
        <w:overflowPunct w:val="0"/>
        <w:autoSpaceDE w:val="0"/>
        <w:autoSpaceDN w:val="0"/>
        <w:adjustRightInd w:val="0"/>
        <w:spacing w:after="0"/>
        <w:ind w:left="0" w:leftChars="0" w:firstLine="0"/>
        <w:textAlignment w:val="baseline"/>
        <w:rPr>
          <w:rFonts w:hint="eastAsia"/>
          <w:b/>
          <w:bCs w:val="0"/>
          <w:i/>
          <w:iCs/>
          <w:sz w:val="20"/>
          <w:szCs w:val="20"/>
          <w:lang w:val="en-US" w:eastAsia="zh-CN"/>
        </w:rPr>
      </w:pPr>
      <w:r>
        <w:rPr>
          <w:rFonts w:hint="eastAsia"/>
          <w:b/>
          <w:bCs w:val="0"/>
          <w:i/>
          <w:iCs/>
          <w:sz w:val="20"/>
          <w:szCs w:val="20"/>
          <w:lang w:val="en-US" w:eastAsia="zh-CN"/>
        </w:rPr>
        <w:t>Proposal 1: For duty cycle based SAR solution, reu</w:t>
      </w:r>
      <w:r>
        <w:rPr>
          <w:rFonts w:hint="default"/>
          <w:b/>
          <w:bCs w:val="0"/>
          <w:i/>
          <w:iCs/>
          <w:sz w:val="20"/>
          <w:szCs w:val="20"/>
          <w:lang w:val="en-US" w:eastAsia="zh-CN"/>
        </w:rPr>
        <w:t xml:space="preserve">se the </w:t>
      </w:r>
      <w:r>
        <w:rPr>
          <w:rFonts w:hint="eastAsia"/>
          <w:b/>
          <w:bCs w:val="0"/>
          <w:i/>
          <w:iCs/>
          <w:sz w:val="20"/>
          <w:szCs w:val="20"/>
          <w:lang w:val="en-US" w:eastAsia="zh-CN"/>
        </w:rPr>
        <w:t xml:space="preserve">PC1.5 </w:t>
      </w:r>
      <w:r>
        <w:rPr>
          <w:rFonts w:hint="default"/>
          <w:b/>
          <w:bCs w:val="0"/>
          <w:i/>
          <w:iCs/>
          <w:sz w:val="20"/>
          <w:szCs w:val="20"/>
          <w:lang w:val="en-US" w:eastAsia="zh-CN"/>
        </w:rPr>
        <w:t xml:space="preserve">single CC </w:t>
      </w:r>
      <w:r>
        <w:rPr>
          <w:rFonts w:hint="eastAsia"/>
          <w:b/>
          <w:bCs w:val="0"/>
          <w:i/>
          <w:iCs/>
          <w:sz w:val="20"/>
          <w:szCs w:val="20"/>
          <w:lang w:val="en-US" w:eastAsia="zh-CN"/>
        </w:rPr>
        <w:t xml:space="preserve">capability for PC1.5 TDD UL intra-band contiguous and non-contiguous CA. </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r>
        <w:rPr>
          <w:rFonts w:hint="eastAsia" w:cs="Times New Roman"/>
          <w:b/>
          <w:bCs/>
          <w:i/>
          <w:iCs/>
          <w:sz w:val="20"/>
          <w:szCs w:val="20"/>
          <w:lang w:val="en-US" w:eastAsia="zh-CN"/>
        </w:rPr>
        <w:t xml:space="preserve">Proposal 2: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Only consider P-MPR scheme for the band combination including PC2 FDD band, i.e. FDD+FDD, FDD+TDD</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duty cycle scheme is applied to the band combination including pure TDD bands, i.e. TDD+TDD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u w:val="single"/>
          <w:lang w:val="en-US" w:eastAsia="zh-CN"/>
        </w:rPr>
      </w:pPr>
      <w:r>
        <w:rPr>
          <w:rFonts w:hint="eastAsia" w:cs="Times New Roman"/>
          <w:b/>
          <w:bCs/>
          <w:i/>
          <w:iCs/>
          <w:sz w:val="20"/>
          <w:szCs w:val="20"/>
          <w:u w:val="single"/>
          <w:lang w:val="en-US" w:eastAsia="zh-CN"/>
        </w:rPr>
        <w:t>MSD rule: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szCs w:val="20"/>
          <w:lang w:val="en-US" w:eastAsia="zh-CN"/>
        </w:rPr>
      </w:pPr>
      <w:r>
        <w:rPr>
          <w:rFonts w:hint="eastAsia"/>
          <w:b/>
          <w:bCs/>
          <w:i/>
          <w:iCs/>
          <w:sz w:val="20"/>
          <w:szCs w:val="20"/>
          <w:lang w:val="en-US" w:eastAsia="zh-CN"/>
        </w:rPr>
        <w:t>Observation: Companies have strong will to simplify the existing MSD table for HPUE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 xml:space="preserve">Proposal 3: It is feasible to use some equations or </w:t>
      </w:r>
      <w:r>
        <w:rPr>
          <w:rFonts w:hint="eastAsia" w:eastAsia="宋体" w:cs="Times New Roman"/>
          <w:b/>
          <w:bCs/>
          <w:i/>
          <w:iCs/>
          <w:kern w:val="2"/>
          <w:sz w:val="20"/>
          <w:szCs w:val="20"/>
          <w:lang w:val="en-US" w:eastAsia="zh-CN"/>
        </w:rPr>
        <w:t>Look-Up-Table</w:t>
      </w:r>
      <w:r>
        <w:rPr>
          <w:rFonts w:hint="eastAsia" w:cs="Times New Roman"/>
          <w:b/>
          <w:bCs/>
          <w:i/>
          <w:iCs/>
          <w:sz w:val="20"/>
          <w:szCs w:val="20"/>
          <w:lang w:val="en-US" w:eastAsia="zh-CN"/>
        </w:rPr>
        <w:t xml:space="preserve"> to </w:t>
      </w:r>
      <w:r>
        <w:rPr>
          <w:rFonts w:hint="eastAsia" w:cs="Times New Roman"/>
          <w:b/>
          <w:bCs/>
          <w:i/>
          <w:iCs/>
          <w:sz w:val="20"/>
          <w:szCs w:val="20"/>
          <w:lang w:val="en-GB" w:eastAsia="zh-CN"/>
        </w:rPr>
        <w:t xml:space="preserve">derive </w:t>
      </w:r>
      <w:r>
        <w:rPr>
          <w:rFonts w:hint="eastAsia" w:cs="Times New Roman"/>
          <w:b/>
          <w:bCs/>
          <w:i/>
          <w:iCs/>
          <w:sz w:val="20"/>
          <w:szCs w:val="20"/>
          <w:lang w:val="en-US" w:eastAsia="zh-CN"/>
        </w:rPr>
        <w:t xml:space="preserve">the MSD for 2Tx </w:t>
      </w:r>
      <w:r>
        <w:rPr>
          <w:rFonts w:hint="eastAsia" w:cs="Times New Roman"/>
          <w:b/>
          <w:bCs/>
          <w:i/>
          <w:iCs/>
          <w:sz w:val="20"/>
          <w:szCs w:val="20"/>
          <w:lang w:val="en-GB" w:eastAsia="zh-CN"/>
        </w:rPr>
        <w:t>PC2/PC1.5</w:t>
      </w:r>
      <w:r>
        <w:rPr>
          <w:rFonts w:hint="eastAsia" w:cs="Times New Roman"/>
          <w:b/>
          <w:bCs/>
          <w:i/>
          <w:iCs/>
          <w:sz w:val="20"/>
          <w:szCs w:val="20"/>
          <w:lang w:val="en-US" w:eastAsia="zh-CN"/>
        </w:rPr>
        <w:t xml:space="preserve"> inter-band UL CA</w:t>
      </w:r>
      <w:r>
        <w:rPr>
          <w:rFonts w:hint="eastAsia" w:cs="Times New Roman"/>
          <w:b/>
          <w:bCs/>
          <w:i/>
          <w:iCs/>
          <w:sz w:val="20"/>
          <w:szCs w:val="20"/>
          <w:lang w:val="en-GB" w:eastAsia="zh-CN"/>
        </w:rPr>
        <w:t xml:space="preserve"> from respective PC3 MSD</w:t>
      </w:r>
      <w:r>
        <w:rPr>
          <w:rFonts w:hint="eastAsia" w:cs="Times New Roman"/>
          <w:b/>
          <w:bCs/>
          <w:i/>
          <w:iCs/>
          <w:sz w:val="20"/>
          <w:szCs w:val="20"/>
          <w:lang w:val="en-US" w:eastAsia="zh-CN"/>
        </w:rPr>
        <w:t>, and the MSD rule should be applied to all 2Tx/3Tx HPUE band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Proposal 4: For 3Tx PC2/PC1.5 inter-band UL CA, t</w:t>
      </w:r>
      <w:r>
        <w:rPr>
          <w:rFonts w:hint="eastAsia"/>
          <w:b/>
          <w:bCs/>
          <w:i/>
          <w:iCs/>
          <w:sz w:val="20"/>
          <w:szCs w:val="20"/>
          <w:lang w:val="en-US" w:eastAsia="zh-CN"/>
        </w:rPr>
        <w:t>he MSD requirements are reused from the corresponding HPUE 2Tx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Proposal 5: How/When to reflect the new agreed MSD for the existing MSD requirements are FFS.</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rPr>
          <w:rFonts w:ascii="Arial" w:hAnsi="Arial" w:cs="Arial" w:eastAsiaTheme="minorEastAsia"/>
          <w:b/>
          <w:sz w:val="24"/>
          <w:lang w:eastAsia="en-GB"/>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"http://10.10.10.10/ftp/RAN/RAN4/Inbox/R4-2414277.zip" </w:instrText>
      </w:r>
      <w:r>
        <w:rPr>
          <w:rFonts w:hint="eastAsia"/>
          <w:sz w:val="20"/>
          <w:szCs w:val="20"/>
          <w:lang w:val="en-US" w:eastAsia="en-GB"/>
        </w:rPr>
        <w:fldChar w:fldCharType="separate"/>
      </w:r>
      <w:r>
        <w:rPr>
          <w:rFonts w:hint="eastAsia"/>
          <w:sz w:val="20"/>
          <w:szCs w:val="20"/>
          <w:lang w:val="en-US" w:eastAsia="en-GB"/>
        </w:rPr>
        <w:t>R4-2414277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r>
        <w:rPr>
          <w:rFonts w:hint="eastAsia"/>
        </w:rPr>
        <w:t>[</w:t>
      </w:r>
      <w:r>
        <w:rPr>
          <w:rFonts w:hint="eastAsia"/>
          <w:lang w:val="en-US" w:eastAsia="zh-CN"/>
        </w:rPr>
        <w:t>3</w:t>
      </w:r>
      <w:r>
        <w:t>] R4-2410605, WF on HPUE MSD Simplification, Skyworks, Murata, Qualcomm, Samsung, Nokia, RAN4#111</w:t>
      </w:r>
    </w:p>
    <w:p>
      <w:r>
        <w:rPr>
          <w:rFonts w:hint="eastAsia"/>
        </w:rPr>
        <w:t>[</w:t>
      </w:r>
      <w:r>
        <w:rPr>
          <w:rFonts w:hint="eastAsia"/>
          <w:lang w:val="en-US" w:eastAsia="zh-CN"/>
        </w:rPr>
        <w:t>4</w:t>
      </w:r>
      <w:r>
        <w:t>] R4-2412619, MSD for HPUE, Qualcomm, RAN4#112</w:t>
      </w:r>
    </w:p>
    <w:p>
      <w:r>
        <w:rPr>
          <w:rFonts w:hint="eastAsia"/>
        </w:rPr>
        <w:t>[</w:t>
      </w:r>
      <w:r>
        <w:rPr>
          <w:rFonts w:hint="eastAsia"/>
          <w:lang w:val="en-US" w:eastAsia="zh-CN"/>
        </w:rPr>
        <w:t>5</w:t>
      </w:r>
      <w:r>
        <w:t xml:space="preserve">] R4-2413066, Further MSD simplifications, </w:t>
      </w:r>
      <w:r>
        <w:rPr>
          <w:rFonts w:hint="eastAsia"/>
        </w:rPr>
        <w:t>Skyworks</w:t>
      </w:r>
      <w:r>
        <w:t xml:space="preserve"> Solutions, Inc., RAN4#112</w:t>
      </w:r>
    </w:p>
    <w:p>
      <w:r>
        <w:rPr>
          <w:rFonts w:hint="eastAsia"/>
        </w:rPr>
        <w:t>[</w:t>
      </w:r>
      <w:r>
        <w:rPr>
          <w:rFonts w:hint="eastAsia"/>
          <w:lang w:val="en-US" w:eastAsia="zh-CN"/>
        </w:rPr>
        <w:t>6</w:t>
      </w:r>
      <w:r>
        <w:t xml:space="preserve">] R4-2413068, Update on Harmonic MSD simplification, </w:t>
      </w:r>
      <w:r>
        <w:rPr>
          <w:rFonts w:hint="eastAsia"/>
        </w:rPr>
        <w:t>Skyworks</w:t>
      </w:r>
      <w:r>
        <w:t xml:space="preserve"> Solutions, Inc., RAN4#112</w:t>
      </w:r>
    </w:p>
    <w:p>
      <w:r>
        <w:rPr>
          <w:rFonts w:hint="eastAsia"/>
        </w:rPr>
        <w:t>[</w:t>
      </w:r>
      <w:r>
        <w:rPr>
          <w:rFonts w:hint="eastAsia"/>
          <w:lang w:val="en-US" w:eastAsia="zh-CN"/>
        </w:rPr>
        <w:t>7</w:t>
      </w:r>
      <w:r>
        <w:t>] R4-2411147, Simplifying or removing MSD tables, Apple, RAN4#112</w:t>
      </w:r>
    </w:p>
    <w:p>
      <w:r>
        <w:rPr>
          <w:rFonts w:hint="eastAsia"/>
        </w:rPr>
        <w:t>[</w:t>
      </w:r>
      <w:r>
        <w:rPr>
          <w:rFonts w:hint="eastAsia"/>
          <w:lang w:val="en-US" w:eastAsia="zh-CN"/>
        </w:rPr>
        <w:t>8</w:t>
      </w:r>
      <w:r>
        <w:t>] R4-2412007, On necessity of additional MSD requirement for HPUE, Nokia, RAN4#112</w:t>
      </w:r>
    </w:p>
    <w:p>
      <w:r>
        <w:rPr>
          <w:rFonts w:hint="eastAsia"/>
        </w:rPr>
        <w:t>[</w:t>
      </w:r>
      <w:r>
        <w:rPr>
          <w:rFonts w:hint="eastAsia"/>
          <w:lang w:val="en-US" w:eastAsia="zh-CN"/>
        </w:rPr>
        <w:t>9</w:t>
      </w:r>
      <w:r>
        <w:t>] R4-2412613, About issue in current PC2 MSD specification, Qualcomm, RAN4#112</w:t>
      </w:r>
    </w:p>
    <w:p>
      <w:r>
        <w:rPr>
          <w:rFonts w:hint="eastAsia"/>
        </w:rPr>
        <w:t>[</w:t>
      </w:r>
      <w:r>
        <w:rPr>
          <w:rFonts w:hint="eastAsia"/>
          <w:lang w:val="en-US" w:eastAsia="zh-CN"/>
        </w:rPr>
        <w:t>10</w:t>
      </w:r>
      <w:r>
        <w:t>] R4-2414063, Companion to CR on harmonic MSD clean-up, Skyworks Solutions Inc., RAN4#112</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bCs/>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AB185"/>
    <w:multiLevelType w:val="singleLevel"/>
    <w:tmpl w:val="96DAB185"/>
    <w:lvl w:ilvl="0" w:tentative="0">
      <w:start w:val="1"/>
      <w:numFmt w:val="bullet"/>
      <w:lvlText w:val="-"/>
      <w:lvlJc w:val="left"/>
      <w:pPr>
        <w:ind w:left="420" w:leftChars="0" w:hanging="420" w:firstLineChars="0"/>
      </w:pPr>
      <w:rPr>
        <w:rFonts w:hint="default" w:ascii="Arial" w:hAnsi="Arial" w:cs="Arial"/>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CA30031"/>
    <w:multiLevelType w:val="multilevel"/>
    <w:tmpl w:val="3CA300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18B430B"/>
    <w:multiLevelType w:val="multilevel"/>
    <w:tmpl w:val="418B430B"/>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4"/>
  </w:num>
  <w:num w:numId="4">
    <w:abstractNumId w:val="5"/>
  </w:num>
  <w:num w:numId="5">
    <w:abstractNumId w:val="2"/>
  </w:num>
  <w:num w:numId="6">
    <w:abstractNumId w:val="1"/>
  </w:num>
  <w:num w:numId="7">
    <w:abstractNumId w:val="8"/>
  </w:num>
  <w:num w:numId="8">
    <w:abstractNumId w:val="7"/>
  </w:num>
  <w:num w:numId="9">
    <w:abstractNumId w:val="0"/>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A0B49"/>
    <w:rsid w:val="0129526D"/>
    <w:rsid w:val="014A0623"/>
    <w:rsid w:val="014C6B63"/>
    <w:rsid w:val="01536583"/>
    <w:rsid w:val="0170606B"/>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0157"/>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AF3C72"/>
    <w:rsid w:val="02B22D9F"/>
    <w:rsid w:val="02D16C80"/>
    <w:rsid w:val="02DC3F9C"/>
    <w:rsid w:val="02E14F55"/>
    <w:rsid w:val="02F900F0"/>
    <w:rsid w:val="03032BFE"/>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5D2980"/>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CC1"/>
    <w:rsid w:val="08341060"/>
    <w:rsid w:val="083D71D5"/>
    <w:rsid w:val="085514F1"/>
    <w:rsid w:val="085A292F"/>
    <w:rsid w:val="085A5F4A"/>
    <w:rsid w:val="08675174"/>
    <w:rsid w:val="08732D34"/>
    <w:rsid w:val="08787FF0"/>
    <w:rsid w:val="08824DF0"/>
    <w:rsid w:val="0889002B"/>
    <w:rsid w:val="089B79D9"/>
    <w:rsid w:val="08A44DA6"/>
    <w:rsid w:val="08AA245A"/>
    <w:rsid w:val="08BA6E24"/>
    <w:rsid w:val="08C024D5"/>
    <w:rsid w:val="08C562FD"/>
    <w:rsid w:val="08CA27B1"/>
    <w:rsid w:val="08D25907"/>
    <w:rsid w:val="08E916DF"/>
    <w:rsid w:val="08F3022B"/>
    <w:rsid w:val="08F473EA"/>
    <w:rsid w:val="08F815F3"/>
    <w:rsid w:val="08F96E54"/>
    <w:rsid w:val="08FC0AA5"/>
    <w:rsid w:val="090868CF"/>
    <w:rsid w:val="090B34E3"/>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B4F7F"/>
    <w:rsid w:val="0A9C263A"/>
    <w:rsid w:val="0A9E3D3D"/>
    <w:rsid w:val="0AA077E0"/>
    <w:rsid w:val="0AA16D79"/>
    <w:rsid w:val="0AA84209"/>
    <w:rsid w:val="0ABF3E2E"/>
    <w:rsid w:val="0AC01F88"/>
    <w:rsid w:val="0AC0212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B6EA8"/>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72E4B"/>
    <w:rsid w:val="0EB91987"/>
    <w:rsid w:val="0ED07B90"/>
    <w:rsid w:val="0EDA2BCA"/>
    <w:rsid w:val="0EDC55F1"/>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2CBC"/>
    <w:rsid w:val="1A153EDB"/>
    <w:rsid w:val="1A165171"/>
    <w:rsid w:val="1A2F1830"/>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395CFF"/>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15CD3"/>
    <w:rsid w:val="1CAF5DB2"/>
    <w:rsid w:val="1CB00002"/>
    <w:rsid w:val="1CB40DF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E0112F9"/>
    <w:rsid w:val="1E0B0833"/>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5553B"/>
    <w:rsid w:val="23D17D7B"/>
    <w:rsid w:val="23D36D9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E6F54"/>
    <w:rsid w:val="2A35650F"/>
    <w:rsid w:val="2A405845"/>
    <w:rsid w:val="2A45641B"/>
    <w:rsid w:val="2A496A6F"/>
    <w:rsid w:val="2A4C39E2"/>
    <w:rsid w:val="2A4D593F"/>
    <w:rsid w:val="2A58319D"/>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14776"/>
    <w:rsid w:val="2B2843BE"/>
    <w:rsid w:val="2B306227"/>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936F8"/>
    <w:rsid w:val="2BCB5DAA"/>
    <w:rsid w:val="2BD32CF3"/>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5D6F47"/>
    <w:rsid w:val="2C677A31"/>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DF829F8"/>
    <w:rsid w:val="2E063012"/>
    <w:rsid w:val="2E1F0CF7"/>
    <w:rsid w:val="2E3118D8"/>
    <w:rsid w:val="2E34792A"/>
    <w:rsid w:val="2E437E73"/>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3F30B1"/>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73901"/>
    <w:rsid w:val="2FEE50B1"/>
    <w:rsid w:val="2FF93066"/>
    <w:rsid w:val="300D4197"/>
    <w:rsid w:val="301A71CE"/>
    <w:rsid w:val="301C3E88"/>
    <w:rsid w:val="301E049B"/>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B2363B"/>
    <w:rsid w:val="32BB0394"/>
    <w:rsid w:val="32CE7F7A"/>
    <w:rsid w:val="32DF351E"/>
    <w:rsid w:val="32EE5E41"/>
    <w:rsid w:val="32F40F87"/>
    <w:rsid w:val="32F549ED"/>
    <w:rsid w:val="32FD7C76"/>
    <w:rsid w:val="330C22FC"/>
    <w:rsid w:val="33277E81"/>
    <w:rsid w:val="33304A5C"/>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E4B0A"/>
    <w:rsid w:val="35807F17"/>
    <w:rsid w:val="35866D7F"/>
    <w:rsid w:val="35897ADA"/>
    <w:rsid w:val="358F6BDF"/>
    <w:rsid w:val="35A65234"/>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16994"/>
    <w:rsid w:val="36820DFD"/>
    <w:rsid w:val="368230C6"/>
    <w:rsid w:val="36831B61"/>
    <w:rsid w:val="36843A03"/>
    <w:rsid w:val="368E7248"/>
    <w:rsid w:val="368F7E4F"/>
    <w:rsid w:val="36985297"/>
    <w:rsid w:val="3699519F"/>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D31FA"/>
    <w:rsid w:val="37202311"/>
    <w:rsid w:val="37226558"/>
    <w:rsid w:val="3734159D"/>
    <w:rsid w:val="37382526"/>
    <w:rsid w:val="373B4C89"/>
    <w:rsid w:val="373F4A34"/>
    <w:rsid w:val="37503E6C"/>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97EDE"/>
    <w:rsid w:val="37DF2F93"/>
    <w:rsid w:val="37E76E34"/>
    <w:rsid w:val="37FE02EA"/>
    <w:rsid w:val="3802360F"/>
    <w:rsid w:val="38083B97"/>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5B1104"/>
    <w:rsid w:val="395C6EA8"/>
    <w:rsid w:val="39660A83"/>
    <w:rsid w:val="39747EC7"/>
    <w:rsid w:val="39752A0F"/>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34E75"/>
    <w:rsid w:val="3BCB270F"/>
    <w:rsid w:val="3BCE3AFC"/>
    <w:rsid w:val="3BD96AA6"/>
    <w:rsid w:val="3BDB182F"/>
    <w:rsid w:val="3BED002E"/>
    <w:rsid w:val="3C000A6C"/>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50DF4"/>
    <w:rsid w:val="3DB64D77"/>
    <w:rsid w:val="3DCF7004"/>
    <w:rsid w:val="3DDA4B31"/>
    <w:rsid w:val="3DDB2309"/>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D167F"/>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2DD0"/>
    <w:rsid w:val="411251DD"/>
    <w:rsid w:val="41146D26"/>
    <w:rsid w:val="411D1161"/>
    <w:rsid w:val="41334FB7"/>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F2533"/>
    <w:rsid w:val="43AF2D32"/>
    <w:rsid w:val="43B45922"/>
    <w:rsid w:val="43B7275B"/>
    <w:rsid w:val="43B76E4F"/>
    <w:rsid w:val="43CF0206"/>
    <w:rsid w:val="43D85D6D"/>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95479"/>
    <w:rsid w:val="46AB0067"/>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41969"/>
    <w:rsid w:val="48256B1B"/>
    <w:rsid w:val="482714E0"/>
    <w:rsid w:val="48282713"/>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9E07E8"/>
    <w:rsid w:val="49A14359"/>
    <w:rsid w:val="49A33C27"/>
    <w:rsid w:val="49A750B5"/>
    <w:rsid w:val="49AB1A6B"/>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777E2A"/>
    <w:rsid w:val="4C923A72"/>
    <w:rsid w:val="4C9B5631"/>
    <w:rsid w:val="4CB836A9"/>
    <w:rsid w:val="4CB96B0F"/>
    <w:rsid w:val="4CBD582C"/>
    <w:rsid w:val="4CC82D24"/>
    <w:rsid w:val="4CCF2CDE"/>
    <w:rsid w:val="4CD32F17"/>
    <w:rsid w:val="4CD84F4C"/>
    <w:rsid w:val="4CE34E9F"/>
    <w:rsid w:val="4CF52D94"/>
    <w:rsid w:val="4CFE5028"/>
    <w:rsid w:val="4D0B5968"/>
    <w:rsid w:val="4D19368B"/>
    <w:rsid w:val="4D462159"/>
    <w:rsid w:val="4D47409F"/>
    <w:rsid w:val="4D525BE3"/>
    <w:rsid w:val="4D566017"/>
    <w:rsid w:val="4D6022FC"/>
    <w:rsid w:val="4D695FF9"/>
    <w:rsid w:val="4D7D3EFB"/>
    <w:rsid w:val="4D866DE7"/>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625C01"/>
    <w:rsid w:val="54727478"/>
    <w:rsid w:val="54835E71"/>
    <w:rsid w:val="5496423C"/>
    <w:rsid w:val="5497051D"/>
    <w:rsid w:val="54A0619E"/>
    <w:rsid w:val="54A068B8"/>
    <w:rsid w:val="54AB65DC"/>
    <w:rsid w:val="54B06F11"/>
    <w:rsid w:val="54B56DF4"/>
    <w:rsid w:val="54B93943"/>
    <w:rsid w:val="54BE5578"/>
    <w:rsid w:val="54BF52B5"/>
    <w:rsid w:val="54D029B2"/>
    <w:rsid w:val="54D202CA"/>
    <w:rsid w:val="54D54E59"/>
    <w:rsid w:val="54DD41DB"/>
    <w:rsid w:val="54E0050A"/>
    <w:rsid w:val="54E358FF"/>
    <w:rsid w:val="54ED3D78"/>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B408B"/>
    <w:rsid w:val="580F1B21"/>
    <w:rsid w:val="58191E63"/>
    <w:rsid w:val="581B7E79"/>
    <w:rsid w:val="58265D9B"/>
    <w:rsid w:val="58325C2F"/>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4EA3"/>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D91F40"/>
    <w:rsid w:val="5BE15701"/>
    <w:rsid w:val="5BE6235A"/>
    <w:rsid w:val="5BEB0120"/>
    <w:rsid w:val="5BEC175C"/>
    <w:rsid w:val="5C097C4E"/>
    <w:rsid w:val="5C0D717D"/>
    <w:rsid w:val="5C1A3A93"/>
    <w:rsid w:val="5C1C16CF"/>
    <w:rsid w:val="5C235386"/>
    <w:rsid w:val="5C277EFF"/>
    <w:rsid w:val="5C395BED"/>
    <w:rsid w:val="5C3A76D7"/>
    <w:rsid w:val="5C3B6CFC"/>
    <w:rsid w:val="5C3C1AE5"/>
    <w:rsid w:val="5C4A34F9"/>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0637"/>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41009"/>
    <w:rsid w:val="60E51841"/>
    <w:rsid w:val="60E7738A"/>
    <w:rsid w:val="60F90C00"/>
    <w:rsid w:val="61110088"/>
    <w:rsid w:val="61186D8B"/>
    <w:rsid w:val="6121108E"/>
    <w:rsid w:val="61421EFD"/>
    <w:rsid w:val="61457124"/>
    <w:rsid w:val="61507CAF"/>
    <w:rsid w:val="615C5041"/>
    <w:rsid w:val="61631B5D"/>
    <w:rsid w:val="617874FC"/>
    <w:rsid w:val="617A6EE7"/>
    <w:rsid w:val="617E7C88"/>
    <w:rsid w:val="61813BF8"/>
    <w:rsid w:val="6182260C"/>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136F2"/>
    <w:rsid w:val="67CA69AB"/>
    <w:rsid w:val="67EF299C"/>
    <w:rsid w:val="67F45538"/>
    <w:rsid w:val="67F66B9D"/>
    <w:rsid w:val="680239EB"/>
    <w:rsid w:val="680722DA"/>
    <w:rsid w:val="6809309C"/>
    <w:rsid w:val="68120E37"/>
    <w:rsid w:val="681306CB"/>
    <w:rsid w:val="682211D1"/>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C0858B3"/>
    <w:rsid w:val="6C1134DA"/>
    <w:rsid w:val="6C240DF3"/>
    <w:rsid w:val="6C2C422A"/>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441C8"/>
    <w:rsid w:val="6DCF21B6"/>
    <w:rsid w:val="6DD13295"/>
    <w:rsid w:val="6DD753C4"/>
    <w:rsid w:val="6DDC5249"/>
    <w:rsid w:val="6DF43BD4"/>
    <w:rsid w:val="6E0E1FAB"/>
    <w:rsid w:val="6E0F2F9F"/>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11A70"/>
    <w:rsid w:val="71477682"/>
    <w:rsid w:val="71545B37"/>
    <w:rsid w:val="71570E43"/>
    <w:rsid w:val="71573E01"/>
    <w:rsid w:val="71702748"/>
    <w:rsid w:val="71862E8D"/>
    <w:rsid w:val="71867894"/>
    <w:rsid w:val="718B0CD8"/>
    <w:rsid w:val="719F7A78"/>
    <w:rsid w:val="71A73EB4"/>
    <w:rsid w:val="71B25E63"/>
    <w:rsid w:val="71B30ACA"/>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97C2E"/>
    <w:rsid w:val="78502D35"/>
    <w:rsid w:val="785051F3"/>
    <w:rsid w:val="7854087B"/>
    <w:rsid w:val="78615D54"/>
    <w:rsid w:val="786A4053"/>
    <w:rsid w:val="786C46DA"/>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307CE"/>
    <w:rsid w:val="79804706"/>
    <w:rsid w:val="79807AE3"/>
    <w:rsid w:val="7988227D"/>
    <w:rsid w:val="79941CF2"/>
    <w:rsid w:val="79973382"/>
    <w:rsid w:val="79B03E5E"/>
    <w:rsid w:val="79B4353E"/>
    <w:rsid w:val="79BB4445"/>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BC2F7D"/>
    <w:rsid w:val="7BC04B6A"/>
    <w:rsid w:val="7BCD64C2"/>
    <w:rsid w:val="7BD100FC"/>
    <w:rsid w:val="7BD3716B"/>
    <w:rsid w:val="7BEC2711"/>
    <w:rsid w:val="7BF55850"/>
    <w:rsid w:val="7C0D2054"/>
    <w:rsid w:val="7C1054B7"/>
    <w:rsid w:val="7C26369C"/>
    <w:rsid w:val="7C2A465C"/>
    <w:rsid w:val="7C305879"/>
    <w:rsid w:val="7C34521A"/>
    <w:rsid w:val="7C4A2BD1"/>
    <w:rsid w:val="7C516EE4"/>
    <w:rsid w:val="7C576C70"/>
    <w:rsid w:val="7C6E4349"/>
    <w:rsid w:val="7C77043F"/>
    <w:rsid w:val="7C815ED2"/>
    <w:rsid w:val="7C8A7CDC"/>
    <w:rsid w:val="7C9516C4"/>
    <w:rsid w:val="7C9E5A24"/>
    <w:rsid w:val="7C9F7EC8"/>
    <w:rsid w:val="7CB4006B"/>
    <w:rsid w:val="7CB763AC"/>
    <w:rsid w:val="7CB93ABB"/>
    <w:rsid w:val="7CBB6FD3"/>
    <w:rsid w:val="7CDA135A"/>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EC4723"/>
    <w:rsid w:val="7DFD4B87"/>
    <w:rsid w:val="7E090313"/>
    <w:rsid w:val="7E105142"/>
    <w:rsid w:val="7E3E0FEC"/>
    <w:rsid w:val="7E3E1EF2"/>
    <w:rsid w:val="7E566EA2"/>
    <w:rsid w:val="7E5C1ABA"/>
    <w:rsid w:val="7E602EE5"/>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